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CR.2022.0015 vom 14. Oktober 2022</w:t>
      </w:r>
    </w:p>
    <w:p>
      <w:r>
        <w:t>VD Tribunal cantonal, 2022-10-14, FR</w:t>
      </w:r>
    </w:p>
    <w:p>
      <w:r>
        <w:rPr>
          <w:b/>
        </w:rPr>
        <w:t xml:space="preserve">Quelle: </w:t>
      </w:r>
      <w:r>
        <w:t>https://mcp.opencaselaw.ch/entscheid/vd_omni_CR.2022.0015</w:t>
      </w:r>
    </w:p>
    <w:p>
      <w:r>
        <w:t>FR: VD_OMNI CR.2022.0015 du 14 octobre 2022</w:t>
      </w:r>
    </w:p>
    <w:p>
      <w:r>
        <w:t>IT: VD_OMNI CR.2022.0015 del 14 ottobre 2022</w:t>
      </w:r>
    </w:p>
    <w:p>
      <w:pPr>
        <w:pStyle w:val="Heading2"/>
      </w:pPr>
      <w:r>
        <w:t>Regeste</w:t>
      </w:r>
    </w:p>
    <w:p>
      <w:r>
        <w:t>A.________ /Service des automobiles et de la navigation | Automobiliste, qui boit de l'eau en conduisant et qui perd de ce fait la maîtrise de son véhicule et cause un accident. Infraction grave au sens de l'art. 16c al. 1 let. a LCR, entraînant un retrait de 3 mois au minimum. S'en tenant à cette durée minimale, la décision attaquée ne peut qu'être confirmée.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1.3</w:t>
      </w:r>
    </w:p>
    <w:p>
      <w:r>
        <w:t>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(TF 6B_117/2015 du 11 février 2016 consid. 13.2). Quant à la mise en danger concrète, elle est retenue lorsque survient une collision entre deux véhicules, sous réserve des chocs à très faible vitesse, par exemple lors de manœuvres sur un parking, qui d'expérience n'occasionnent que des dommages matériels (cf. TF 6B_117/2015 précité consid. 13.2; ég. arrêt CR.2021.0029 du 22 février 20222 consid. 3b).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scrupules. L'absence de scrupules sera exceptionnellement niée lorsque les circonstances particulières du cas d'espèce font apparaître le comportement de l'auteur sous un jour plus favorable (ATF 142 IV 93 consid. 3.1; ég. TF 6B_441/2015 du 3 février 2016 consid. 2.2.1, 6B_290/2015 du 23 novembre 2015 consid. 2.2.1 et les références). A été considéré comme grave le fait, pour un conducteur, de prendre une bouteille d'eau qui avait glissé entre le siège passager et la portière (TF 1C_188/2010 du 6 septembre 2010 annulant l'arrêt CR.2009.0086 du 18 mars 2010), de boire de l'eau à la bouteille (arrêt CR.2012.0080 du 31 janvier 2013), de se pencher pour ramasser un document qui se trouvait dans son sac à main, sur le sol côté passager (TF 1C_71/2008 du 31 mars 2008 annulant l'arrêt CR.2007.0319 du 28 janvier 2008), de changer un CD (arrêt CR.2009.0061 du 12 mars 2010), de se baisser pour ramasser un téléphone portable tombé à ses pieds (TF 1C_299/2007 du 11 janvier 2008; arrêt CR.2007.0103 du 20 août 2007; arrêt CR.2015.0002 du 24 mars 2015), de porter le regard sur l'autoradio (arrêt CR.2009.0043 du 30 septembre 2009), de chercher un CD dans la boîte à gants (arrêt CR.2007.0134 du 4 août 2008), de manipuler l'autoradio et de régler la climatisation (arrêt CR.2006.0483 du 17 avril 2007), d'allumer une cigarette (arrêt CR.2011.0077 du 30 mars 2012) ou de manipuler le GPS (arrêt CR.2017.0042 du 8 janvier 2018), lorsque ces activités ont conduit à ce que l'attention du conducteur soit détournée de la route.</w:t>
      </w:r>
    </w:p>
    <w:p>
      <w:r>
        <w:rPr>
          <w:b/>
        </w:rPr>
        <w:t>E. 2</w:t>
      </w:r>
    </w:p>
    <w:p>
      <w:r>
        <w:t>Le recourant requiert d'être entendu " afin d'exposer les faits, les circonstances de l'accident, mais aussi de [s] 'excuser de [son] manque d'attention ". a) Le droit d'être entendu garanti à l'art. 29 al. 2 de la Constitution fédérale de la Confédération Suisse du 18 avril 1999 (Cst.; RS 101) comprend notamment celui de faire administrer les preuves, pour autant qu'elles apparaissent utiles à l'établissement des faits pertinents ( ATF 139 II 489 consid. 3.3). Il ne comprend en revanche pas le droit d'être entendu oralement ( ATF 140 I 68 consid. 9.6.1; 134 I 140 consid. 5.3). L'autorité peut  par ailleurs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 L'art. 27 al. 1 LPA-VD rappelle en outre que la procédure administrative est en principe écrite. b) En l'espèce, le recourant a eu l'occasion de s'expliquer dans le cadre d'un double échange d'écritures. On ne voit pas quels nouveaux éléments, qui n'auraient pas pu être exposés par écrit, pourraient encore apporter son audition. Il y a donc lieu de rejeter, par appréciation anticipée des moyens de preuve, la requête du recourant.</w:t>
      </w:r>
    </w:p>
    <w:p>
      <w:r>
        <w:rPr>
          <w:b/>
        </w:rPr>
        <w:t>E. 3</w:t>
      </w:r>
    </w:p>
    <w:p>
      <w:r>
        <w:t>a) Aux termes de l'art. 31 al. 1 de la loi fédérale du 19 décembre 1958 sur la circulation routière (LCR; RS 741.01), le conducteur devra rester constamment maître de son véhicule de façon à pouvoir se conformer aux devoirs de la prudence. Cette disposition est complétée par l'art. 3 al. 1 de l'ordonnance du 13 novembre 1962 sur les règles de la circulation routière (OCR; RS 741.11),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TF 6A.16/2006 du 6 avril 2006 consid. 2.1.1). L'infraction grave au sens de l'art. 16c al.1 let. a LCR est ainsi subordonnée à la double gravité de la faute commise et de la mise en danger objective (cf. ATF 135 II 138 consid. 2.2.3; TF 1C_436/2019 du 30 septembre 2019 consid. 2.1; 1C_525/2012 du 24 octobre 2013 consid. 2.1). c) Selon la jurisprudence, la violation grave d'une règle de circulation suppose d'un point de vue objectif que l'auteur a mis sérieusement en danger la sécurité du trafic. Il y a création d'un danger sérieux pour la sécurité d'autrui non seulement en cas de mise en danger concrète, mais déjà en cas de mise en danger abstraite accrue ( ATF 143 IV 508 consid.</w:t>
      </w:r>
    </w:p>
    <w:p>
      <w:r>
        <w:rPr>
          <w:b/>
        </w:rPr>
        <w:t>E. 4</w:t>
      </w:r>
    </w:p>
    <w:p>
      <w:r>
        <w:t>En l'espèce, il ressort des déclarations qu'il a faites à la gendarmerie que le recourant, qui circulait sur la route de la Blécherette du Mont-sur-Lausanne en direction de Prilly, n'a pas remarqué que les véhicules qui le précédaient s'étaient arrêtés à un carrefour, car il était en train de boire de l'eau, et que, malgré un freinage d'urgence, il n'a pas pu éviter la collision. Dans le cadre de la procédure de réclamation, il a redonné en substance les mêmes explications. Dans la présente procédure de recours, il est revenu en revanche sur sa version des faits. Il affirme désormais que l'inattention dont il a fait preuve et l'accident qui en a résulté n'auraient aucun lien avec le fait qu'il buvait de l'eau, évoquant plutôt " un malheureux concours de circonstances ". Aucun élément ne justifie toutefois de s'écarter des déclarations que le recourant a faites à la gendarmerie. Selon une jurisprudence bien établie, l'expérience démontre en effet que les premières déclarations des parties sont plus proches de la vérité que celles faites ultérieurement, notamment dans le cadre d'une procédure contentieuse dont l'issue pourrait mettre en péril des intérêts (cf. arrêts GE.2022.0035/PE.2022.0017 du 20 juin 2022 consid. 2c; FI.2017.0154/FI.2017.0155 du 14 juin 2018 consid. 3b; PE.2015.0203 du 21 mars 2016 consid. 2a et les références; ég. ATF 121 V 47 consid. 2a, TF 2C_665/2020 du 2 février 2021 consid. 7.3 in fine et les références). En buvant de l'eau tout en conduisant, le recourant n'a pas prêté à la circulation toute l'attention requise de sa part. Le moment de distraction a été suffisant pour qu'il ne remarque pas les véhicules le précédant s'arrêter à un carrefour et pour qu'il ne soit plus en mesure de les éviter. Certes, la vitesse à laquelle il circulait était modérée au moment de l'accident, soit 50 km/h selon ses déclarations, sur un tronçon limité à 80 km/h. Cependant, même à cette vitesse, un choc n'est pas anodin et peut avoir des conséquences graves. En outre, la jurisprudence a déjà admis une faute grave à cette vitesse voire à une vitesse légèrement inférieure (soit moins de 50 km/h), pour des comportements similaires (cf. arrêts précités CR.2017.0042, CR.2015.0002 et CR.2006.0483). Par ailleurs, il convient de souligner que l'intéressé circulait sur une route cantonale notoirement fréquentée, ce qui requerrait une attention soutenue. Il a ainsi pris un risque certain en buvant à ce moment-là. S'il avait soif, il n'avait qu'à attendre la fin de son trajet pour se désaltérer ou bien s'arrêter à la première occasion si l'étanchement ne souffrait aucun délai. En agissant comme il l'a fait, le recourant n'a pas montré suffisamment d'égards pour les autres usagers de la route et sa faute doit être qualifiée de grave (cf. pour un cas semblable, arrêt CR.2012.0080 précité). Concernant la mise en danger créée, si l'accident n'a certes occasionné que des dégâts matériels, il n'en demeure pas moins qu'on dépasse largement le cadre de la simple "touchette". Le choc a du reste été suffisamment important pour que le véhicule avec lequel le recourant est entré en collision percute à son tour le véhicule qui le précédait. Une mise en danger concrète doit dès lors être retenue (cf. supra consid. 3c, 1 er paragraphe). La double condition de la gravité de la faute et de la mise en danger étant réalisée, c'est à juste titre que l'autorité intimée a qualifié l'infraction commise de grave au sens de l'art. 16c al. 1 let. a LCR. Après une infraction grave, le permis de conduire est retiré pour trois mois au minimum (cf. art. 16c al. 2 let. a LCR), seuil en-dessous duquel il est impossible d'aller même en cas nécessité professionnelle de conduire un véhicule automobile (cf. art. 16 al. 3 LCR). S'en tenant à cette durée minimale, la décision attaquée ne peut qu'être confirmée.</w:t>
      </w:r>
    </w:p>
    <w:p>
      <w:r>
        <w:rPr>
          <w:b/>
        </w:rPr>
        <w:t>E. 5</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