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CR.2022.0012 vom 9. Mai 2022</w:t>
      </w:r>
    </w:p>
    <w:p>
      <w:r>
        <w:t>VD Tribunal cantonal, 2022-05-09, FR</w:t>
      </w:r>
    </w:p>
    <w:p>
      <w:r>
        <w:rPr>
          <w:b/>
        </w:rPr>
        <w:t xml:space="preserve">Quelle: </w:t>
      </w:r>
      <w:r>
        <w:t>https://mcp.opencaselaw.ch/entscheid/vd_omni_CR.2022.0012</w:t>
      </w:r>
    </w:p>
    <w:p>
      <w:r>
        <w:t>FR: VD_OMNI CR.2022.0012 du 9 mai 2022</w:t>
      </w:r>
    </w:p>
    <w:p>
      <w:r>
        <w:t>IT: VD_OMNI CR.2022.0012 del 9 maggio 2022</w:t>
      </w:r>
    </w:p>
    <w:p>
      <w:pPr>
        <w:pStyle w:val="Heading2"/>
      </w:pPr>
      <w:r>
        <w:t>Regeste</w:t>
      </w:r>
    </w:p>
    <w:p>
      <w:r>
        <w:t>A.________/Service des automobiles et de la navigation | Irrecevabilité du recours. L'auteur du recours, qui déclarait agir au nom de sa mère, seule destinataire de la décision attaquée, n'a pas produit la procuration requise par la juge instructrice.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2008 sur la procédure administrative [LPA-VD; BLV 173.36]); - qu'à défaut de la production d'une procuration, l'autorité déclare l'acte déposé par le mandataire irrecevable (cf. CDAP FI.2018.0196 du 14 novembre 2018 et les réf.); - qu'il n'y a pas lieu de déroger à ce principe en l'espèce, de sorte que le recours doit être déclaré irrecevable; - que le présent arrêt d'irrecevabilité peut être rendu sans frais ni dépens (art. 49, 52, 55, 56, 91 et 99 LPA-VD); - qu'un juge unique est compétent pour statuer sur les recours manifestement irrecevables (art. 94 al. 1 let. d LPA-VD);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