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CR.2022.0011 vom 10. Mai 2022</w:t>
      </w:r>
    </w:p>
    <w:p>
      <w:r>
        <w:t>VD Tribunal cantonal, 2022-05-10, FR</w:t>
      </w:r>
    </w:p>
    <w:p>
      <w:r>
        <w:rPr>
          <w:b/>
        </w:rPr>
        <w:t xml:space="preserve">Quelle: </w:t>
      </w:r>
      <w:r>
        <w:t>https://mcp.opencaselaw.ch/entscheid/vd_omni_CR.2022.0011</w:t>
      </w:r>
    </w:p>
    <w:p>
      <w:r>
        <w:t>FR: VD_OMNI CR.2022.0011 du 10 mai 2022</w:t>
      </w:r>
    </w:p>
    <w:p>
      <w:r>
        <w:t>IT: VD_OMNI CR.2022.0011 del 10 maggio 2022</w:t>
      </w:r>
    </w:p>
    <w:p>
      <w:pPr>
        <w:pStyle w:val="Heading2"/>
      </w:pPr>
      <w:r>
        <w:t>Regeste</w:t>
      </w:r>
    </w:p>
    <w:p>
      <w:r>
        <w:t>A.________/Service des automobiles et de la navigation | Celui qui conduit régulièrement une voiture et au nom duquel est enregistré le permis de circulation est considéré comme le détenteur du véhicule. En cas de cessation de la couverture d'assurance responsabilité civile, il appartient au détenteur (et non au propriétaire du véhicule) de transmettre une nouvelle attesation d'assurance au SAN afin de conserver ses plaques. Recours manifestement mal fondé. Vu le sort du recours, la requête de levée de l'effet suspensif déposée par le SAN n'a plus d'objet.</w:t>
      </w:r>
    </w:p>
    <w:p>
      <w:pPr>
        <w:pStyle w:val="Heading2"/>
      </w:pPr>
      <w:r>
        <w:t>Erwägungen</w:t>
      </w:r>
    </w:p>
    <w:p>
      <w:r>
        <w:rPr>
          <w:b/>
        </w:rPr>
        <w:t>E. 1</w:t>
      </w:r>
    </w:p>
    <w:p>
      <w:r>
        <w:t>La décision attaquée n'est pas une mesure de retrait de permis ou d’interdiction de conduire prononcées à l’égard d’un conducteur au sens de l’art. 21 al. 1 de la loi vaudoise du 25 novembre 1974 sur la circulation routière (LVCR; BLV 741.01), de sorte qu'elle n'est dès lors pas susceptibles de réclamation (art. 21 al. 2 LVCR). Elle peut donc faire l’objet d’un recours direct au Tribunal cantonal (art. 92 al. 1 LPA-VD), lequel s’exerce dans les 30 jours dès la notification de la décision attaquée (arrêts CR.2013.0084 du 12 novembre 2013; CR.2013.0048 du 29 août 2013 et CR.2012.0074 du 11 mars 2013). Déposé dans le délai précité, le recours est intervenu en temps utile. Il respecte au surplus les conditions formelles énoncées à l’art. 79 LPA-VD, applicable par renvoi de l'art. 99 LPA-VD. Le recours est donc formellement recevable.</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Partant, la décision rendue le 8 avril 2022 par le SAN était justifiée. Dans ces conditions, le recours est manifestement mal fondé, de sorte qu'il doit être rejeté en application de l'art. 82 LPA-VD. Une réponse n'ayant pas été formellement requise de l'autorité intimée et l'arrêt étant brièvement motivé, il sera renoncé aux frais de justice. Il n'y pas lieu à l'allocation de dépens. Dès lors que le tribunal a statué immédiatement sur la cause au fond par le présent arrêt, il ne sera pas statué sur la requête du SAN tendant à la levée de l'effet suspensif, qui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