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CR.2021.0014 vom 13. April 2022</w:t>
      </w:r>
    </w:p>
    <w:p>
      <w:r>
        <w:t>VD Tribunal cantonal, 2022-04-13, FR</w:t>
      </w:r>
    </w:p>
    <w:p>
      <w:r>
        <w:rPr>
          <w:b/>
        </w:rPr>
        <w:t xml:space="preserve">Quelle: </w:t>
      </w:r>
      <w:r>
        <w:t>https://mcp.opencaselaw.ch/entscheid/vd_omni_CR.2021.0014</w:t>
      </w:r>
    </w:p>
    <w:p>
      <w:r>
        <w:t>FR: VD_OMNI CR.2021.0014 du 13 avril 2022</w:t>
      </w:r>
    </w:p>
    <w:p>
      <w:r>
        <w:t>IT: VD_OMNI CR.2021.0014 del 13 aprile 2022</w:t>
      </w:r>
    </w:p>
    <w:p>
      <w:pPr>
        <w:pStyle w:val="Heading2"/>
      </w:pPr>
      <w:r>
        <w:t>Regeste</w:t>
      </w:r>
    </w:p>
    <w:p>
      <w:r>
        <w:t>A.________ /Service des automobiles et de la navigation | Modalités de l'expertise évaluant l'aptitude à la conduite. Il est nécessaire que l'expert (médecin de niveau 4) rencontre l'expertisé afin de vérifier les éléments déterminants pour l'expertise. Ceci n'implique pas une présence de l'expert lors de l'entier de l'entretien médical, mais impose à tout le moins une discussion des éléments essentiels en présence et en interaction avec la personne expertisée. De même, dans le cadre de l'entretien psychologique, l'expertisé doit être vu par le psychologue spécialisé. L'expertise en cause n'ayant pas été réalisée dans le respect des exigences légales, elle ne peut pas servir de motivation à une décision de retrait de sécurité du permis de conduire pour cause d'inaptitude à la conduite. Admission du recours</w:t>
      </w:r>
    </w:p>
    <w:p>
      <w:pPr>
        <w:pStyle w:val="Heading2"/>
      </w:pPr>
      <w:r>
        <w:t>Erwägungen</w:t>
      </w:r>
    </w:p>
    <w:p>
      <w:r>
        <w:rPr>
          <w:b/>
        </w:rPr>
        <w:t>E. 1</w:t>
      </w:r>
    </w:p>
    <w:p>
      <w:r>
        <w:t>Le recours a été déposé dans le délai légal auprès de la CDAP contre une décision sur réclamation du SAN, qui n’est pas susceptible de recours devant une autre autorité (art. 21 al. 3 de la loi vaudoise du 25 novembre 1974 sur la circulation routière [LVCR; BLV 741.01]; art. 92 et 95 de la loi du 28 octobre 2007 sur la procédure administrative [LPA-VD; BLV 173.36]). Directement atteint dans ses intérêts par la décision attaquée, le recourant a manifestement qualité pour recourir (art. 75 al. 1 let. a LPA-VD). Il y a lieu d'entrer en matière.</w:t>
      </w:r>
    </w:p>
    <w:p>
      <w:r>
        <w:rPr>
          <w:b/>
        </w:rPr>
        <w:t>E. 2</w:t>
      </w:r>
    </w:p>
    <w:p>
      <w:r>
        <w:t>Le recourant fait valoir une violation de son droit d’être entendu. Il n'y a pas lieu d'examiner ce grief, le recours devant de toute manière être admis pour le motif qui suit.</w:t>
      </w:r>
    </w:p>
    <w:p>
      <w:r>
        <w:rPr>
          <w:b/>
        </w:rPr>
        <w:t>E. 3</w:t>
      </w:r>
    </w:p>
    <w:p>
      <w:r>
        <w:t>La décision attaquée prononce le retrait de sécurité du permis de conduire du recourant pour une durée de trois mois au moins et soumet sa restitution à un certain nombre de conditions. Le recourant critique l'expertise du 18 novembre 2020 sur les conclusions de laquelle se fonde la décision attaquée si bien qu'il convient de rappeler le cadre légal dans lequel s'inscrit cet acte d'instruction.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Selon l'art. 16c al. 1 let. b LCR, commet une infraction grave la personne qui conduit un véhicule automobile en état d’ébriété et présente un taux d’alcool qualifié dans l’haleine ou dans le sang. Si l'aptitude à la conduite soulève des doutes, notamment en cas de conduite en état d'ébriété avec un taux d'alcool dans l'haleine de 0,8 milligramme (mg) ou plus par litre d'air expiré, la personne concernée fera l'objet d'une enquête (art. 15d al. 1 let. a LCR). L'art. 25 al. 3 let. f LCR, introduit par la modification de la LCR du 15 juin 2012 entrée en vigueur le 1 er juillet 2016 (projet "Via Sicura"), délègue au Conseil fédéral la compétence de déterminer les exigences minimales imposées aux personnes chargées d'effectuer les enquêtes sur l'aptitude à la conduite, à la procédure d'enquête et à l'assurance qualité. b) A teneur de l'art. 28a al. 1 let. a OAC, si l'aptitude à la conduite d'une personne soulève des doutes (art. 15d al. 1 LCR), l'autorité cantonale ordonne, en cas de questions relevant de la médecine du trafic, un examen d'évaluation de l'aptitude à la conduite par un médecin selon l'art. 5a bis . Selon l'art. 5a OAC, introduit par la modification du 1 er juillet 2015 entrée en vigueur le 1 er juillet 2016 (RO 2015 2599), les examens relevant de la médecine du trafic peuvent être réalisés seulement sous la responsabilité de médecins reconnus (al. 1). Quant aux examens relevant de la psychologie du trafic, ils ne peuvent être réalisés que sous la responsabilité de psychologues reconnus (al. 2). L'art. 5a bis OAC prévoit quatre niveaux de reconnaissance pour les médecins. Les différents niveaux correspondent à divers types de formation: plus l'examen à réaliser est complexe, plus les exigences fixées sont élevées (cf. Amélioration de la qualité des évaluations de l'aptitude à la conduite, Fiche d'information, 01.07.2015, Office fédéral des routes). Les médecins de niveau 4 peuvent réaliser tous les examens et toutes les expertises relevant de la médecine du trafic qui concernent l'aptitude à la conduite et la capacité de conduire. Seuls les médecins de niveau 4 peuvent réaliser les expertises en cas de doute sur l'aptitude à la conduite après une conduite en état d'ébriété (art. 15d al. 1 let. a LCR; cf. art. 5a bis let. c ch. 5 OAC a contrario et art. 5a bis al. 1 let. d OAC). Les médecins de niveau 4 doivent posséder le titre de " spécialiste en médecine du trafic " de la Société suisse de médecine légale (SSML) dont les conditions d'obtentions sont précisées par cette société (cf. règlement pour le port du titre de spécialiste en médecine du trafic SSML adopté par l'Assemblée générale de la SSML le 9 novembre 2013, disponible sur le site https://www.sgrm.ch/fr/medecine-du-trafic/medecine-du-trafic-ssml/, consulté le 6 décembre 2021). Au 30 septembre 2021, 61 médecins étaient titulaires du titre de spécialiste en médecine du trafic SSM (cf. liste disponible sur le site https://www.sgrm.ch/fr/medecine-du-trafic/medecine-du-trafic-ssml/). Selon l'art. 5c OAC, les psychologues qui souhaitent procéder à des examens relevant de la psychologie du trafic sont reconnus par l’autorité cantonale s’ils possèdent le titre de psychologue spécialiste en psychologie de la circulation FSP, option diagnostic (let. a); s’ils possèdent un titre reconnu comme équivalent par la Société suisse de psychologie de la circulation (let. b). c) Si elle met en œuvre une expertise, l'autorité est liée par l'avis de l'expert et ne peut s'en écarter que si elle a de sérieux motifs de le faire (ATF 140 II 334 consid. 3 p. 338; 132 II 257 consid. 4.4.1 p. 269).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p. 232; 125 V 351 consid. 3a; arrêt TF 1C_106/2016 du 9 juin 2016 consid. 3.1.2, publié in JdT 2016 I 138). Dans sa jurisprudence relative à l'expertise en matière d'assurances sociales, le Tribunal fédéral a notamment précisé que l'expert devait en principe exécuter personnellement le mandat qui lui était confié, la substitution ou le transfert (même partiel) de mandat à un autre spécialiste supposant en principe l'autorisation de l'autorité qui a mis en œuvre l'expertise. L'obligation d'exécuter le mandat n'exclut cependant pas la possibilité de faire appel à l'assistance d'un auxiliaire qui agit selon ses instructions et sous sa surveillance pour effectuer certaines tâches secondaires par exemple assurer des tâches techniques ou des travaux de recherche, de rédaction, de copie ou de contrôle (arrêt TF 8C_596/2013 du 24 janvier 2014 consid. 6.1.2.1; Jacques Olivier Piguet, in Commentaire romand LPGA, Bâle 2018, n. 12 ad art. 44 LPGA; Yves Donzallaz, Traité de droit médical, vol. II, Berne 2021, n. 3458 ss, spéc. n. 3460). Par contre, l’expert a l’obligation d’effectuer personnellement les tâches essentielles. Ces tâches, qui ne peuvent être déléguées, consistent notamment à prendre connaissance du dossier dans son ensemble, à l’analyser de manière critique, à examiner la personne à évaluer, à réfléchir à l’évaluation du cas et aux conclusions qui peuvent en être tirées (cf. arrêt TF 9C_525/2020 du 29 mai 2021 consid. 4.1; voir aussi Corinne Monnard Séchaud, Expertises en assurances: point de situation, Plaidoyer 2022, p. 32). Selon la jurisprudence est admissible une expertise corédigée et cosignée par une médecin diplômée sans le titre de spécialiste nécessaire et par une médecin avec le titre "spécialiste en médecine du trafic (SSML)" (arrêt TF 1C_7/2019 du 4 juillet 2019 consid. 4.2, qui ne donne pas d'autre précision sur le déroulement de l'expertise). d) Dans l'arrêt CR.2020.0042 du 16 avril 2021, concernant une conductrice qui avait fait l'objet d'une expertise médicale quant à son aptitude à la conduite, en raison d'une conduite en état d'ébriété, la CDAP a relevé ce qui suit (consid. 4). "Selon les explications de l'UMPT, l'expertise a été presque entièrement déléguée à un médecin assistant, soit un médecin en formation ne bénéficiant d'aucun niveau de reconnaissance. L'experte désignée s'est bornée à prendre connaissance des constatations de ce dernier, à relire le rapport et à en approuver le contenu, comme l'indique d'ailleurs la mention "lu et approuvé" au bas de ce dernier. Elle n'a en revanche procédé directement à aucun acte médical et n'a en particulier pas participé à l'entretien avec la patiente. En matière d'aptitude à la conduite, le législateur a prescrit le recours à l'expertise d'un médecin disposant de qualifications spécifiques. Il paraît dès lors logique d'exiger que ce médecin se charge lui-même des tâches fondamentales de l'expertise. Certes, la formulation de l'art. 5a al. 1 OAC, qui exige que l'examen se déroule "sous la responsabilité" d'un médecin reconnu, pourrait laisser penser qu'une plus grande délégation est possible. Dans son Message du 20 octobre 2010 concernant Via sicura (FF 2010 7703, p. 7729), le Conseil fédéral s'était également référé au médecin "responsable de l'expertise". Cela étant, on ne saurait conclure de ce qui précède que le médecin responsable de l'expertise puisse déléguer à des tiers ne disposant pas des qualifications requises les tâches essentielles de l'expertise. Le système mis en place par le législateur prévoit une certaine symétrie entre le niveau de qualification de l'expert et les potentielles conséquences de l'expertise, qui lie en principe les autorités administratives, pour le conducteur. L’idée était donc d’offrir au conducteur des garanties supplémentaires sur la qualification de la personne responsable de l’enquête au vu des conséquences graves que peut avoir une telle expertise pour la personne concernée. Les termes de "responsable de l'expertise" utilisés à l'art. 5a OAC et dans le Message doivent donc être interprétés restrictivement en ce sens qu'une expertise nécessite souvent le concours de plusieurs spécialistes mais qu'un médecin de niveau 4 doit en porter la responsabilité. A cet égard, le système est comparable à celui existant dans d'autres domaines – comme celui des assurances sociales – où il est admis à certaines conditions qu'un expert puisse faire appel à d'autres spécialistes si leur concours est nécessaire (Donzallaz, op. cit., n. 3463). En l'occurrence, le rapport d'expertise porte essentiellement sur la problématique de consommation d'alcool et de cannabis de la recourante ainsi que sur sa santé psychique qui a nécessité le recours à un traitement médicamenteux. Le rapport conclut à une absence de dépendance mais retient que la recourante reste en raison de sa "fragilité psychologique" – liée notamment à sa période de chômage et du stress liée aux entretiens d'embauche – tr ès à risque de consommer l'une de ces trois substances qui dont des effets apparentés et présenterait donc de ce fait un risque pour la sécurité du trafic. Comme le relève à juste titre la recourante, ces conclusions ne sont pas fondées sur le résultat des analyses et des tests – notamment en lien avec les réponses données par la recourante aux questionnaires AUDIT, QBDA et EVACAPA – mais sur l'anamnèse et l'entretien mené par le Dr B.________ et auquel n'a pas participé la Dre F.________. Or, s i l'on peut admettre qu’'il est possible de déléguer la réalisation des tests à un tiers, l'interprétation du résultat de ceux-ci ainsi que l'examen médical de la personne expertisée font indubitablement partie des tâches fondamentales qui doivent être accomplies par l'expert lui-même (cf. Donzallaz, op. cit., n. 3460). Comme le relève également cet auteur (op.cit., n. 3462), il n'y a pas de motif de s'écarter dans les autres domaines du droit des principes développés par la jurisprudence rendue en matière d'assurances sociales. Dans ces conditions, l'autorité intimée ne pouvait dès lors se fonder sur l'expertise du 30 juin 2020 pour rendre une décision de retrait de sécurité du permis de conduire de la recourante".</w:t>
      </w:r>
    </w:p>
    <w:p>
      <w:r>
        <w:rPr>
          <w:b/>
        </w:rPr>
        <w:t>E. 4</w:t>
      </w:r>
    </w:p>
    <w:p>
      <w:r>
        <w:t>En l'espèce, le rapport d'expertise du 18 novembre 2020 concluant à l'inaptitude à la conduite du recourant est signé par le Dr B.________ (médecin assistant) et cosigné par le Dr D.________ (médecin du trafic SSML), pour ce dernier avec la mention " Lu et approuvé ". Une telle formulation laisse à première vue entendre que le rapport a été rédigé par le Dr B.________ et ensuite uniquement relu par le Dr D.________. Dès lors toutefois que le Dr D.________ a écrit au Tribunal qu'il a " personnellement rédigé la partie médicale du rapport d'expertise de Monsieur A.________", qu'il l'a encore répété lors de l'audience du 7 mars 2022 et qu'il n'y a pas de raison de ne pas retenir ces déclarations écrites comme véridiques, le Tribunal partira de l'idée que la rédaction du rapport a été conjointe. Cette manière de procéder est conforme aux prescriptions légales. Il reste à examiner les conditions dans lesquelles a eu lieu l'examen médical du recourant. Selon le rapport d'expertise du 18 novembre 2020 de l'UMPT, l'intéressé a été reçu " pour une expertise médicale effectuée le 10.09.2020 par le Dr B.________ ". Ce rapport ne fait par ailleurs pas état d'un contact personnel entre le Dr D.________ et le recourant. Le 22 novembre 2021, le Dr D.________ a admis lui-même que " l'examen clinique général a été effectué le 10 septembre 2020 par le Dr B.________, à ma demande, sans ma présence " . Lors de l'audience du 7 mars 2022, il a précisé que " Après en avoir discuté avec moi, le Dr B.________ a reçu le recourant le 10 septembre 2020. Il a alors procédé à un entretien médical (anamnèse médicale). Le Dr B.________ a procédé à un examen médical. Il a posé des questions d’ordre général sur l’état de santé de l’intéressé, sur ses habitudes en matière de consommation d’alcool et sur les faits survenus le jour où il a conduit après avoir consommé de l’alcool. J’ai croisé M. A. ________ soit le 10 septembre soit le 12 octobre. Je ne me suis pas entretenu avec lui . Lors du colloque de supervision qui est intervenu immédiatement après l’entretien avec le Dr B.________, j’ai demandé des explications au sujet du contenu global de cet entretien. J’ai notamment vérifié que toutes les questions importantes avaient été posées. Si nécessaire, ceci aurait pu aboutir à une nouvelle convocation de l’intéressé afin de compléter l’expertise dans la mesure requise ". Lors de l'audience, le Dr B.________ a précisé pour sa part que " Le 10 septembre 2020, j’ai fait une anamnèse, un examen clinique, j’ai également exploré un peu la partie psychologique. J’ai examiné la situation liée au fait qu’il avait déjà eu une expertise en 2010 pour deux conduites en état d’ivresse. Pour ce qui est de la problématique de la consommation d’alcool et de ses conséquences sur les conclusions de l’expertise, je dirais que l’entretien que j’ai eu avec M. A. ________ n’a pas vraiment joué de rôle ". Il ressort de ce qui vient d'être exposé qu'il n'est pas contesté que le recourant a été expertisé sans avoir été vu par un médecin de niveau 4. Or l'examen médical de la personne expertisée, impliquant un contact direct entre l'expert et l'expertisé, relève " indubitablement partie des tâches fondamentales qui doivent être accomplies par l'expert lui-même " (cf. considérant précédent). Il y a lieu de préciser qu'une telle interprétation n'exclut pas que les aspects techniques, par exemple l'examen physique d'ordre général (auscultation cardiaque et pulmonaire, évaluation des réflexes entre autres), puissent être délégués à un assistant. Cette exigence n'exclut ainsi pas que l'expert s'adjoigne les services d'un assistant et que celui-ci qui procède à une partie de l' examen médical. Cet éventuel examen par l'assistant doit toutefois être complété et validé par l'expert responsable qui ne peut pas renoncer à rencontrer l'expertisé. Dans tous les cas, il est nécessaire que l'expert rencontre l'expertisé afin de vérifier les éléments déterminants pour l'expertise. Ceci n'implique pas une présence de l'expert lors de l'entier de l'entretien médical, mais impose à tout le moins une discussion des éléments essentiels en présence et en interaction avec la personne expertisée. Les exigences précitées n'ont pas été respectées lors de l'entretien médical sur lequel se fonde le rapport d'expertise du 18 novembre 2020. Peu importe à cet égard que le niveau de connaissance du Dr B.________ au moment de la réalisation de l'expertise ait été celui d'un médecin diplômé, qui travaillait au sein de l'UMPT depuis plusieurs mois. En effet la loi impose que seuls les médecins de niveau 4 peuvent se charger des expertises relevant de la médecine du trafic qui concernent l’aptitude à la conduite et la capacité de conduire ( art. 5a bis al. 1 let. d OAC). Il s'agit d'une disposition impérative, qui ne laisse pas de marge d'interprétation à l'autorité. Peu importe également qu'un colloque de supervision entre le Dr B.________ et le Dr D.________ soit intervenu immédiatement après l'entretien du Dr B.________ avec le recourant. La supervision n'est pas équivalente à un contact direct. N'est pas non plus déterminant, comme semblent le soutenir les médecins de l'UMPT, que les conclusions du rapport d'expertise se soi e nt fondées dans le cas présent sur les résultats objectifs des analyses toxicologiques et les réponses au questionnaire pour conclure à une inaptitude à la conduite, et non sur l'anamnèse générale ou sur l'auscultation pulmonaire du recourant. Admettre cette objection reviendrait à dire que des inaptitudes à la conduite peuvent être retenues uniquement sur la base d'examens toxicologiques et de questionnaires, sans qu'un entretien avec la personne concernée n'ait lieu. Or la loi ne se satisfaits de ces seuls examens mais exige une expertise, qui doit être confiée à un médecin particulièrement qualifié. On l'a vu, cette expertise doit comprendre un contact personnel entre ce médecin et l'expertisé. Il y a ainsi lieu de considérer le Dr B.________, n'étant pas un médecin de niveau 4, ne pouvait pas être considéré comme habilité à agir seul, au vu des exigences de l'OAC, sans que le médecin de niveau 4 ne rencontre le recourant. Quant à Mme C.________, qui était uniquement psychologue diplômée au moment de la réalisation de l'expertise du recourant, il a été confirmé lors de l'instruction de la présente cause qu'elle était seule lors de l'entretien du 12 octobre 2020. Elle l'a encore précisé lors de l'audience du 7 mars 2021 en disant que " Mme E.________ n’a pas vu M. A .________ . J’ai rédigé la partie expertise psychologique du rapport. J’ai également rédigé les considérations psychologiques figurant dans le chapitre discussion et conclusion. Mme E.________ a lu et approuvé tout ce que j’ai écrit. J’étais en mesure de rédiger seule la partie psychologique du rapport dès lors que je remplissais tous les critères. Me manquait juste le titre officiel. J’étais dans le parcours final.  Je pense que l’entretien de supervision n’a pas eu lieu le jour même puisqu’il s’agissait d’un lundi, jour où Mme E.________ ne travaille pas. Je ne me souviens pas à quel moment il a eu lieu. Normalement cet entretien a lieu dans la semaine, parfois la semaine suivante ". Comme pour l'entretien médical, la rencontre entre l'expert et l'expertisé relève " indubitablement partie des tâches fondamentales qui doivent être accomplies par l'expert lui-même " dans le cadre de l'entretien psychologique. Peu importe ainsi que Mme C.________ ait pratiqué au sein de l'UMPT depuis plusieurs années et ait, au moment de la réalisation de l'expertise du recourant, soumis son dossier à la Société suisse de psychologie de la circulation en vue de l'obtention du titre de spécialiste en psychologie de la circulation, titre qui lui a été reconnu en février 2021. N'est pas non plus déterminant à cet égard qu'un colloque de supervision soit intervenu après l'entretien du 12 octobre 2020 avec la psychologue superviseuse, Mme E.________, ayant la qualification requise et responsable pour l'examen relevant de la psychologie du trafic. En effet, lorsqu'a été réalisée l'expertise du recourant, à l'automne 2020, Mme C.________ n'était pas encore une psychologue reconnue au sens de l'OAC et ne pouvait pas procéder seule à l'entretien psychologique, élément central de l'analyse psychologique. Lors de l'audience du 7 mars 2021, le Dr D.________ a indiqué que le résultat de l'expertise se fondait "sur deux éléments objectifs, soit les analyses sanguines et les réponses au questionnaire " . Il semble ainsi soutenir que l'entretien psychologique n'aurait été pas été déterminants pour les conclusions du rapport et que, par conséquent, l'absence de Mme E.________ lors de l'entretien psychologique n'invaliderait pas le rapport. Comme déjà relevé ci-avant, le Tribunal ne peut pas admettre que l'on dénie toute portée à l'examen du patient et à l'entretien direct avec le patient dans le cadre d'une expertise médicale et psychologique. En outre, cette argumentation n'est pas fondée si on examine l'entier du dossier. En effet, dans une précédente écriture du 1 er septembre 2021, le Dr D.________ indiquait que les conclusions de l'expertise du recourant étaient basées sur: "- l'interprétation des réponses de l'expertisé aux questionnaires alcoologiques parlant clairement en faveur d'une possible problématique en lien avec la consommation d'éthanol, selon les données de la littérature (son score au questionnaire AUDIT étant de</w:t>
      </w:r>
    </w:p>
    <w:p>
      <w:r>
        <w:rPr>
          <w:b/>
        </w:rPr>
        <w:t>E. 9</w:t>
      </w:r>
    </w:p>
    <w:p>
      <w:r>
        <w:t>points), - les analyses toxicologiques dont les résultats parlent en faveur d'une consommation importante d'éthanol lors des deux à trois semaines précédant les prélèvements, et - l'entretien psychologique mené par Madame C.________ sous la responsabilité et la supervision de Madame E.________, psychologue FSP, spécialiste en psychologie de la circulation routière, option diagnostic (SPC) L'exécution de l'ensemble de cette expertise était sous ma responsabilité tant pour la partie psychologique que pour la partie médicale. J'ai également examiné et approuvé les conclusions prises par Madame C.________ qui agissait déjà sous la responsabilité et la supervision de Madame E.________, psychologue remplissant les conditions posées à l'art. 5c OAC". Il convient ainsi de constater que l'expertise du 18 novembre 2020 n'a pas été réalisée dans le respect des exigences légales. Elle ne peut dès lors pas servir de motivation à une décision de retrait de sécurité du permis de conduire pour cause d'inaptitude à la conduite. 5. a) Il résulte des considérants qui précèdent que le recours doit être admis et la décision querellée annulée. Il appartiendra dès lors à l'autorité intimée de mettre en œuvre une nouvelle expertise auprès d'un médecin de niveau 4 et d'un psychologue reconnu pour déterminer l'aptitude à la conduite de l'intéressé. Il lui reviendra aussi de décider s'il y a lieu de restituer au recourant son permis de conduire pendant la durée de la procédure en procédant à une balance des intérêts qui tiendra compte des éléments nouveaux intervenus depuis la décision de retrait préventif b) Vu l'issue du litige, les frais seront laissés à la charge de l'Etat (art. 49, 91 et 99 LPA-VD). c) S'agissant des dépens, l'art. 55 al. 1 LPA-VD dispose que l'autorité alloue une indemnité à la partie qui obtient totalement ou partiellement gain de cause, en remboursement des frais qu'elle a engagés pour défendre ses intérêts. Cette indemnité est mise à la charge de la partie qui succombe (art. 55 al. 2 LPA-VD). En l'occurrence, le recourant obtient gain de cause de sorte qu'il se justifie de lui allouer une indemnité à titre de dépens, à la charge de l'autorité intimée qui succombe. Cette indemnité sera arrêtée à 2'500 (deux mille cinq cents) francs. c) Compte tenu de ses ressources, le recourant a été mis au bénéfice de l'assistance judiciaire par décision du 16 juin 2021. Pour l'indemnisation du conseil d'office, les dispositions régissant l'assistance judiciaire en matière civile sont applicables (art. 18 al. 5 LPA-VD). L'art. 39 al. 5 du Code de droit privé judiciaire vaudois du 12 janvier 2010 (CDPJ; BLV 211.02) délègue au Tribunal cantonal la compétence de fixer les modalités de la rémunération des conseils et le remboursement.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(art. 2 al. 1 let. a RAJ). Il sera retenu un montant d'honoraires de 3045 fr., correspondant au nombre d'heures de 16.55 indiqué par le mandataire d'office dans sa liste des opérations produite le 6 avril 2022. A ce montant s'ajoute celui des débours, fixés forfaitairement à 5% du défraiement hors taxe (art. 3 bis al. 1 RAJ), soit à 152 fr. 25, ainsi que les vacations qui, dans le canton de Vaud, sont comptées forfaitairement à 120 fr. pour l'avocat breveté (cf. art. 3 bis al. 3 RAJ). Le montant total sera ainsi arrêté à 3317 fr. 25, auquel il convient d'ajouter 255 fr. 45 de TVA au taux de 7.7%. L'indemnité totale s'élève ainsi à 3572 fr. 70, arrondie 3573 fr., dont il convient de déduire les dépens alloués par 2'500 francs.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