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CR.2021.0005 vom 12. Mai 2021</w:t>
      </w:r>
    </w:p>
    <w:p>
      <w:r>
        <w:t>VD Tribunal cantonal, 2021-05-12, FR</w:t>
      </w:r>
    </w:p>
    <w:p>
      <w:r>
        <w:rPr>
          <w:b/>
        </w:rPr>
        <w:t xml:space="preserve">Quelle: </w:t>
      </w:r>
      <w:r>
        <w:t>https://mcp.opencaselaw.ch/entscheid/vd_omni_CR.2021.0005</w:t>
      </w:r>
    </w:p>
    <w:p>
      <w:r>
        <w:t>FR: VD_OMNI CR.2021.0005 du 12 mai 2021</w:t>
      </w:r>
    </w:p>
    <w:p>
      <w:r>
        <w:t>IT: VD_OMNI CR.2021.0005 del 12 maggio 2021</w:t>
      </w:r>
    </w:p>
    <w:p>
      <w:pPr>
        <w:pStyle w:val="Heading2"/>
      </w:pPr>
      <w:r>
        <w:t>Regeste</w:t>
      </w:r>
    </w:p>
    <w:p>
      <w:r>
        <w:t>A.________ /Service des automobiles et de la navigation | L'assureur responsabilité civile d'un véhicule automobile a annoncé au SAN la cessation de couverture pour défaut de paiement des primes. Le SAN a prononcé le retrait du permis de circulation et des plaques, sollicité la restitution de ceux-ci dans un délai de 5 jours dès notification, avec l'avertissement qu'à défaut la police serait réquisitionnée pour les saisir. Pas de réaction du titulaire du contrat d'assurance, qui recourt contre la décision du SAN dans la mesure où des frais ont été mis à sa charge. En substance, il fait valoir que son paiement s'est croisé avec l'avis de l'assureur adressé au SAN. Le recourant omet de préciser qu'il avait plusieurs mois de retard et qu'au moment où la décision du SAN a été rendue, il était derechef en retard pour le paiement de la prime suivante. Toutes les opérations effectuées par l'autorité intimée avant la réception de la nouvelle attestation d'assurance étaient requises par la loi et justifient la facturation d'émoluments, lesquels sont proportionnés et adéquats. Recours rejeté.</w:t>
      </w:r>
    </w:p>
    <w:p>
      <w:pPr>
        <w:pStyle w:val="Heading2"/>
      </w:pPr>
      <w:r>
        <w:t>Erwägungen</w:t>
      </w:r>
    </w:p>
    <w:p>
      <w:r>
        <w:rPr>
          <w:b/>
        </w:rPr>
        <w:t>E. 1</w:t>
      </w:r>
    </w:p>
    <w:p>
      <w:r>
        <w:t>a) Contrairement aux décisions rendues en matière de retrait de permis de conduire et d'interdiction de conduire (art. 21 al. 2 de la loi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de la loi vaudoise du 28 octobre 2008 sur la procédure administrative [LPA-VD]; BLV 173.36). b) Bien que sommairement motivé, le recours remplit les autres conditions de recevabilité posées par la loi (art. 75, 79, 95 et 99 LPA-VD), de sorte qu'il y a lieu d'entrer en matière sur le fond. c) Une nouvelle attestation d'assurance ayant été produite, reste uniquement litigieuse la question des frais mis à la charge de A.________, par fr. 400.- au total, selon les chiffres 4 et 5 de la décision du 5 janvier 2021. Pour savoir si le prélèvement de ces frais est justifié, il y a lieu d'examiner si le SAN pouvait rendre la décision attaquée.</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En définitive, le recours s'avère mal fondé, la décision du 5 janvier 2021 étant confirmée en tant qu'elle met à la charge du recourant deux émoluments successifs de 200 fr., soit 400 fr. au total. La décision attaquée ne mentionne pas les 20 fr. d'émolument pour le signalement au RIPOL, qui ont vraisemblablement été facturés séparément, et qui ne font pas l'objet de la présente procédure. Succombant, le recourant doit supporter l'émolument judiciaire (art. 49 al. 1 LPA-VD); il ne saurait prétendre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