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CR.2020.0050 vom 5. Juli 2021</w:t>
      </w:r>
    </w:p>
    <w:p>
      <w:r>
        <w:t>VD Tribunal cantonal, 2021-07-05, FR</w:t>
      </w:r>
    </w:p>
    <w:p>
      <w:r>
        <w:rPr>
          <w:b/>
        </w:rPr>
        <w:t xml:space="preserve">Quelle: </w:t>
      </w:r>
      <w:r>
        <w:t>https://mcp.opencaselaw.ch/entscheid/vd_omni_CR.2020.0050</w:t>
      </w:r>
    </w:p>
    <w:p>
      <w:r>
        <w:t>FR: VD_OMNI CR.2020.0050 du 5 juillet 2021</w:t>
      </w:r>
    </w:p>
    <w:p>
      <w:r>
        <w:t>IT: VD_OMNI CR.2020.0050 del 5 luglio 2021</w:t>
      </w:r>
    </w:p>
    <w:p>
      <w:pPr>
        <w:pStyle w:val="Heading2"/>
      </w:pPr>
      <w:r>
        <w:t>Regeste</w:t>
      </w:r>
    </w:p>
    <w:p>
      <w:r>
        <w:t>A.________/Service des automobiles et de la navigation | Confirmation de la décision du SAN prononçant un avertissement à l'encontre du recourant pour avoir piloté son bateau à moteur à une vitesse supérieure à 10 km/h à moins de 300 mètres de la rive. C'est en vain que le recourant conteste les faits retenus dans la décision pénale entrée en force. Infraction devant à tout le moins être qualifiée de légère. Le recourant n'ayant pas fait l'objet d'un retrait du permis de conduire ou d'une mesure administrative au cours des deux années précédentes, c'est à bon droit qu'un avertissement lui a été signifié. Recours rejeté.</w:t>
      </w:r>
    </w:p>
    <w:p>
      <w:pPr>
        <w:pStyle w:val="Heading2"/>
      </w:pPr>
      <w:r>
        <w:t>Erwägungen</w:t>
      </w:r>
    </w:p>
    <w:p>
      <w:r>
        <w:rPr>
          <w:b/>
        </w:rPr>
        <w:t>E. 1</w:t>
      </w:r>
    </w:p>
    <w:p>
      <w:r>
        <w:t>La décision litigieuse prononçant un avertissement est fondée sur l’art. 20 de la loi fédérale sur la navigation intérieure du 3 octobre 1975 (LNI; RS 747 201). Dès lors que le droit cantonal ne prévoit pas de procédure de réclamation, la voie du recours au Tribunal cantonal, selon les art. 92 ss de la loi du 28 octobre 2008 sur la procédure administrative (LPA-VD; BLV 173.36), est ouverte contre cette décision (cf. arrêt CR.2013.0104 du 20 janvier 2014 consid. 1). Interjeté en temps utile, le recours satisfait par ailleurs aux autres conditions formelles de recevabilité (art. 79, 92, 95 et 99 LPA-VD). Il y a ainsi lieu d'entrer en matière.</w:t>
      </w:r>
    </w:p>
    <w:p>
      <w:r>
        <w:rPr>
          <w:b/>
        </w:rPr>
        <w:t>E. 2</w:t>
      </w:r>
    </w:p>
    <w:p>
      <w:r>
        <w:t>En l’espèce, il est reproché au recourant d’avoir navigué à une vitesse excessive trop près de la rive. a) aa) La LNI règle la navigation sur les voies navigables suisses, y compris celles qui sont frontalières (art. 1 al. 1). Les dispositions des conventions internationales ainsi que les dispositions prises en application de ces conventions sont réservées (art. 1 al. 3). Pour les voies navigables frontalières ou pour les voies navigables régies par des conventions internationales, le Conseil fédéral décide après avoir consulté les cantons riverains (art. 4 al. 2 LNI). L’exécution de la LNI, des conventions internationales et des dispositions d’application est du ressort des cantons dans la mesure où elle n’est pas réservée à une autorité fédérale (art. 58 al. 1 LNI). Les permis de conduire et les permis des membres d’équipage sont délivrés et reti­rés par le canton dans lequel le candidat ou le titulaire a son domicile ou, à dé­faut, son lieu de séjour habituel (art. 58 al. 3 LNI). bb) Selon l’art. 22 al. 1 LNI, le conducteur de bateau doit prendre toutes les précautions que commandent le devoir général de vigilance et la pratique de la navigation pour éviter de mettre en danger des personnes, de causer des dommages aux choses des tiers, d’entraver la navigation et de troubler l’environnement. L’ordonnance du 8 novembre 1978 sur la navigation intérieure (ONI; RS 747.201.1) prévoit à son art. 41 al. 1 que le conducteur règle la vitesse du bateau de manière à pouvoir, en tout temps, satis­faire aux obligations qui lui incombent dans le trafic; il exécute toute manœuvre franchement et suffisamment tôt. L’art. 53 al. 1 let. b ONI dispose que, à l’exception des bateaux en service régulier circulant selon l’horaire officiel, des bateaux de police, de l’administration des douanes et des forces de sauvetage, les bateaux à moteur ne peuvent naviguer à une vitesse supérieure à 10 km/h dans les zones riveraines inté­rieu­res et extérieures. Est considérée comme zone riveraine intérieure le plan d’eau s’étendant jusqu’à 150 m de la rive, comme zone riveraine extérieure le plan d’eau s’étendant au-delà de la zone riveraine intérieure jusqu’à une distance de 300 m, soit de la rive, soit des champs de végétation aquatique situés devant la rive ou des constructions édifiées dans l’eau. Le règlement de la navigation sur le Léman du 7 décembre 1976 (RNL; RS 0.747.221.11), édicté dans le cadre de la conclusion de l’Accord entre le Conseil fédéral suisse et le Gouvernement de la République française du 7 décembre 1976 concernant la navigation sur le Léman (RS 0.747.221.1), contient une règle analogue. Ainsi, l’art. 70 al. 5 RNL prévoit que, sous réserve de diverses dispositions (qui ne trouvent ici pas à s’appliquer), il est interdit à tout bateau de naviguer à une vitesse supérieure à 10 km/h, à moins de 300 m des rives, à l’exception des bateaux de police, de l’administration des douanes et des forces de sauvetage. b) Le recourant soutient que l’art. 53 al. 1 let. b ONI fixe deux éléments de mesure précis, à savoir une vitesse (10 km/h) et une distance (300 m des rives), et que cette disposition ne laisse pas la mesure de la vitesse à l’appréciation de l’autorité. Il fait valoir que si la distance a bien été mesurée de manière objective à l’aide d’un appareil radar lors du contrôle du 31 juillet 2020, tel n’a pas été le cas de la vitesse qui a été appréciée par les gardes-frontières. Il argue du fait que la preuve d’une vitesse supérieure à 10 km/h n’a ainsi pas été rapportée et que la seule mesure de vitesse objective déterminante était celle affichée au compteur de vitesse de son bateau lorsqu’il a été contrôlé, soit 10 km/h. La décision attaquée violerait ainsi le droit et heurterait de manière choquante le sentiment de justice et d’équité. Le recourant explique en outre que depuis 2003, année d’acquisition de son bateau, il a piloté son embarcation chaque été sans incident. b) aa) Selon la jurisprudence rendue en matière de circulation routière – qui s’applique par analogie en matière de navigation –,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TF 1C_654/2019 du 6 octobre 2020 consid. 2.1; arrêt CR.2020.0059 du 22 janvier 2021 consid. 3a).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TF 1C_470/2019 du 31 janvier 2020 consid. 5.1.2; arrêt CR.2020.0047 du 15 janvier 2021 consid. 3a). Si les faits retenus au pénal lient donc en principe l’autorité et le juge administratifs, il en va différemment des questions de droit, en particulier de l’appréciation de la faute et de la mise en danger (TF 1C_474/2020 du 19 avril 2021 consid. 3.2; arrêt CR.2020.0048 du 12 janvier 2021 consid. 2a). bb) Le recourant a en l’occurrence été dûment informé par l’autorité intimée (cf. courrier du 14 septembre 2020) de la circonstance selon laquelle l’autorité administrative retient l’état de fait établi par l’autorité pénale et qu’il lui appartenait dès lors de faire valoir tous ses arguments directement auprès de cette autorité. Le 4 décembre 2020, le tribunal de céans a en outre suspendu la procédure administrative dans l’attente de l’issue pénale à la demande du recourant, qui s’est prévalu de son opposition à l’ordonnance pénale du 28 août 2020. Il était dès lors loisible à ce dernier, cela d’autant plus qu’il se prévaut d’une erreur sur les faits, de faire valoir ses griefs à l’encontre du rapport de la gendarmerie du 11 août 2020 dans le cadre de la procédure pénale, en épuisant au besoin toutes les voies de recours à sa disposition. Le recourant s’étant abstenu de recourir contre sa condamnation pénale du 19 janvier 2021, celle-ci est par conséquent entrée en force. Le tribunal ne voit en outre aucune raison de se distancer des faits tels qu’ils ont été retenus dans le jugement du Tribunal d’arrondissement de l’Est vaudois du 19 janvier 2021, soit ceux établis dans le rapport de gendarmerie du 11 août 2020 auquel il renvoie. Il ne suffit à cet égard pas d’affirmer de manière péremptoire, comme le fait le recourant, que l’appréciation faite par les gardes-frontières de la vitesse à laquelle il naviguait lorsqu’il s’est trouvé à moins de 300 m des rives ne serait pas fiable au seul motif qu’elle n’a pas été corroborée par un moyen technique. S’agissant d’une évaluation faite par des agents dûment formés et habitués à un tel exercice dans le cadre de leurs activités lacustres, il n’y a pas lieu de douter de la vitesse estimée énoncée dans le rapport du 11 août 2020, le rapport de constat d’infraction du 31 juillet 2020 faisant notamment état d’un déjaugeage constaté à 200 m des rives. Il y a ainsi lieu pour le tribunal de céans, à l’instar de l’autorité intimée, de s’en tenir aux faits tels qu’ils ont été retenus dans le jugement pénal du 19 janvier 2021, à savoir que le recourant a navigué à une vitesse excédant 10 km/h à moins de 300 m de la rive. En tant qu’il remet en cause cette vitesse, le recours est mal fondé. b) aa) Aux termes de l’art. 20 al. 1 LNI, commet une infraction légère la personne qui, notamment, compromet légèrement la sécurité de la navigation ou incommode des tiers en enfreignant les règles de route (let. a). L’auteur d’une infraction fait l’objet d’un avertissement si, au cours des deux années précédentes, le permis de conduire ne lui a pas été retiré et qu’aucune mesure administrative n’a été prononcée (art. 20 al. 3 LNI). En cas d’infraction particulièrement légère, il est renoncé à toute mesure administrative (art. 20 al. 4 LNI). Commet une infraction moyennement grave la personne qui, notamment, crée un danger pour la sécurité d’autrui ou en prend le risque en enfreignant les règles de route (art. 20a al. 1 let. a LNI). Après une infraction moyennement grave, le permis de conduire est retiré pour une durée d’un mois au moins (art. 20a al. 2 let. a LNI). bb) Dans une précédente affaire (arrêt AC.2013.0104 précité), le SAN avait prononcé un retrait du permis de conduire d’une durée d’un mois à l’encontre d’un navigateur qui avait piloté son bateau à environ 200 m de la rive (zone riveraine extérieure) en tractant une skieuse nautique et à une vitesse nettement supérieure à 10 km/h, considérant qu’il s’agissait d’une faute importante pouvant entraîner une mise en danger importante des autres usagers car on pouvait s’attendre à ce que des baigneurs se trouvent dans la zone de sécurité. Le Tribunal cantonal a confirmé cette sanction, en relevant que le passage rapide du bateau à moteur puis de la skieuse à proximité de la rive pouvait effectivement être considéré comme un acte créant un certain danger, si bien que le SAN n’avait pas fait une mauvaise application du droit fédéral en retenant qu’il y avait lieu de prononcer un retrait du permis de conduire plutôt qu'un avertissement. En l’occurrence, au vu de ce qui précède, on doit admettre qu’en ayant piloté son bateau " à une vitesse nettement supérieure à 10 km/h, à quelques 200 mètres de la rive " (cf. rapport de la gendarmerie du 11 août 2020), le recourant a commis une infraction qui doit à tout le moins être qualifiée de légère au sens de l’art. 20 al. 1 let. a LNI, comme l’a retenu l’autorité intimée. Le fait que l’intéressé puisse naviguer depuis 2003 de manière irréprochable ne permet pas d’appréhender le cas comme étant d’une gravité moindre. En d’autres termes, on ne saurait considérer qu’il serait ici question d’une infraction particulièrement légère au sens de l’art. 20 al. 4 LNI et, partant, renoncer à toute mesure administrative. Le recourant ne le prétend au demeurant pas. Le recourant n’ayant pas fait l’objet d’un retrait du permis de conduire ou d’une mesure administrative au cours des deux dernières années, c’est à bon droit que l’autorité intimée a prononcé à son encontre un avertissement conformément à l’art 20 al. 3 LNI. La décision attaquée, qui ne prête par conséquent pas le flanc à la critique sous l'angle de sa proportionnalité, doit ainsi être confirmée.</w:t>
      </w:r>
    </w:p>
    <w:p>
      <w:r>
        <w:rPr>
          <w:b/>
        </w:rPr>
        <w:t>E. 3</w:t>
      </w:r>
    </w:p>
    <w:p>
      <w:r>
        <w:t>Il résulte des considérants qui précèdent que le recours doit être rejeté et la décision attaquée être confirmée. Succombant, le recourant supportera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