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CR.2020.0047 vom 15. Januar 2021</w:t>
      </w:r>
    </w:p>
    <w:p>
      <w:r>
        <w:t>VD Tribunal cantonal, 2021-01-15, FR</w:t>
      </w:r>
    </w:p>
    <w:p>
      <w:r>
        <w:rPr>
          <w:b/>
        </w:rPr>
        <w:t xml:space="preserve">Quelle: </w:t>
      </w:r>
      <w:r>
        <w:t>https://mcp.opencaselaw.ch/entscheid/vd_omni_CR.2020.0047</w:t>
      </w:r>
    </w:p>
    <w:p>
      <w:r>
        <w:t>FR: VD_OMNI CR.2020.0047 du 15 janvier 2021</w:t>
      </w:r>
    </w:p>
    <w:p>
      <w:r>
        <w:t>IT: VD_OMNI CR.2020.0047 del 15 gennaio 2021</w:t>
      </w:r>
    </w:p>
    <w:p>
      <w:pPr>
        <w:pStyle w:val="Heading2"/>
      </w:pPr>
      <w:r>
        <w:t>Regeste</w:t>
      </w:r>
    </w:p>
    <w:p>
      <w:r>
        <w:t>A.________/Service des automobiles et de la navigation | Confirmation de la décision du SAN de retirer le permis de conduire du recourant pour une durée indéterminée mais d'au moins 24 mois. Il n'y a pas de raison de s'écarter des faits retenus dans le cadre de l'ordonnance pénale, qui sont constitutifs d'une infraction moyennement grave (brusque ralentissement sur l'autoroute pour s'insérer dans la voie de droite et prendre à temps la sortie). Compte tenu des antécédants du recourant, la sanction prononcée constitue le minimum légal. Recours rejeté.</w:t>
      </w:r>
    </w:p>
    <w:p>
      <w:pPr>
        <w:pStyle w:val="Heading2"/>
      </w:pPr>
      <w:r>
        <w:t>Erwägungen</w:t>
      </w:r>
    </w:p>
    <w:p>
      <w:r>
        <w:rPr>
          <w:b/>
        </w:rPr>
        <w:t>E. 1</w:t>
      </w:r>
    </w:p>
    <w:p>
      <w:r>
        <w:t>Déposé par le destinataire de la décision attaquée, qui a un intérêt manifeste à son annulation, dans le délai légal de 30 jours contre une décision sur réclamation du SAN, qui n’est pas susceptible de recours devant une autre autorité, le recours satisfait pour le surplus aux autres conditions formelles prévues par la loi, si bien qu’il y a lieu d’entrer en matière sur le fond (art. 75, 79, 92, 95 et 99 de la loi du 28 octobre 2008 sur la procédure administrative [LPA-VD ; BLV 173.36]).</w:t>
      </w:r>
    </w:p>
    <w:p>
      <w:r>
        <w:rPr>
          <w:b/>
        </w:rPr>
        <w:t>E. 2</w:t>
      </w:r>
    </w:p>
    <w:p>
      <w:r>
        <w:t>Le recourant requiert son audition par la Cour. a) La procédure est en principe écrite (art. 27 al. 1 LPA-VD). L’autorité peut toutefois ordonner l'audition des parties à titre de moyen de preuve (art. 29 al. 1 let. a LPA-VD). Tel que garanti par l'art. 29 al. 2 de la Constitution fédérale de la Confédération suisse du 18 avril 1999 (Cst.; RS 101), le droit d'être entendu ne comprend pas le droit d’être entendu oralement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l’espèce, le Tribunal s’estime suffisamment renseigné sur la base du dossier. Le recourant a notamment produit de nombreuses pièces en lien avec sa situation personnelle et s’est exprimé sur les motifs pour lesquels il considérait que les faits retenus par l’ordonnance pénale du 27 décembre 2019 ne correspondaient pas, selon lui, à la réalité et que l'infraction commise devait être qualifiée de légère. Dans ces conditions, on ne voit pas quel élément supplémentaire pourrait amener l’audition du recourant si bien que sa requête doit être rejetée.</w:t>
      </w:r>
    </w:p>
    <w:p>
      <w:r>
        <w:rPr>
          <w:b/>
        </w:rPr>
        <w:t>E. 3</w:t>
      </w:r>
    </w:p>
    <w:p>
      <w:r>
        <w:t>Le recourant fait d’abord grief à la décision attaquée de s’être fondée, s’agissant de l’infraction du 28 octobre 2019, sur les faits retenus par l’ordonnance pénale du 27 décembre 2019 et d’avoir refusé de s’en écarter. a)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arrêt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arrêt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arrêt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du 7 octobre 2016 consid. 3b/aa). b) En l’espèce, le recourant soutient avoir contesté tardivement – soit le 24 janvier 2020 – l’ordonnance pénale du 27 décembre 2019. On relèvera toutefois que le dossier ne contient pas d’indication sur le sort qui aurait été réservé à cette opposition. Quoiqu’il en soit, le recourant ne conteste pas que cette opposition est tardive et que l’ordonnance pénale du 27 décembre 2019 est dès lors entrée en force sans avoir été contestée valablement. Il n'apparaît en particulier pas que le recourant aurait requis ou obtenu la restitution du délai pour contester l'ordonnance pénale. Les circonstances personnelles que fait valoir le recourant, notamment le conflit alors virulent qui l'opposait à la mère de son enfant au sujet de la garde de ce dernier, ne permettent dès lors pas de considérer qu’il aurait été empêché d’agir en temps utile pour sauvegarder ses droits sur le plan pénal et ne constituent pas un motif pour l'autorité administrative de s'écarter des faits retenus dans la procédure pénale. En outre, le recourant ne fait valoir dans son argumentation aucun élément ou moyen de preuve nouveau qui permettrait de s’écarter des constatations du Ministère public du Canton de Berne. Contrairement à ce que le recourant paraît soutenir, ce n’est pas parce qu’un ralentissement était constaté sur la voie de droite sur le tronçon avant la sortie « Berne-Wankdorf » que le trafic était nécessairement aussi ralenti sur la voie de gauche qu’empruntait le recourant. Les déclarations en ce sens du recourant, qui prétend qu'il a dû ralentir en raison d'un danger, ne correspondent pas aux constatations des agents de police selon lesquelles la vitesse du trafic sur la voie de gauche était normale. Il n'y a dès lors pas lieu de s'écarter de l'état de fait retenu par l'ordonnance pénale selon lequel le recourant circulait à une vitesse d’environ 80 km/h sur la voie de gauche avant de fortement ralentir jusqu’à une vitesse de 5-10 km/h afin de s’insérer sur la voie de droite à temps pour prendre la sortie de « Berne-Wankdorf ». Cette manœuvre a obligé les conducteurs qui le suivaient à ralentir fortement et à faire des manœuvres dangereuses pour le dépasser. Il n’est pas arbitraire ni contraire à d’autres éléments du dossier de considérer que le recourant a volontairement et de manière injustifiée ralenti sa vitesse parce qu’il avait peur de manquer la sortie de « Berne-Wankdorf » et voulait s’épargner un trajet supplémentaire. Ce grief doit donc être écarté.</w:t>
      </w:r>
    </w:p>
    <w:p>
      <w:r>
        <w:rPr>
          <w:b/>
        </w:rPr>
        <w:t>E. 4</w:t>
      </w:r>
    </w:p>
    <w:p>
      <w:r>
        <w:t>Le recourant fait valoir que la décision attaquée a qualifié à tort l’infraction du 28 octobre 2019 de moyennement grave et soutient qu’il s’agirait d’une infraction légère. a) Commet une infraction légère la personne qui, en violant les règles de la circulation, met légèrement en danger la sécurité d’autrui et à laquelle seule une faute légère peut être imputée (art. 16a al. 1 let. a de la loi fédérale du 19 décembre 1958 sur la circulation routière [LCR; RS 741.01]).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p. 452; 135 II 138 consid. 2.2.2; arrêt CDAP CR.2017.0040 du 31 octobre 2017, consid. 2a). b) En l’espèce, le Ministère public du Canton de Berne a considéré que le recourant avait par son comportement commis notamment une violation grave des règles de la circulation et donc créé un sérieux danger pour la sécurité d'autrui ou pris le risque d'en créer un (art. 90 al. 2 LCR). L'ordonnance pénale retient notamment la violation de l'art. 4 al. 5 de l'ordonnance fédérale du 13 novembre 1962 sur les règles de la circulation routière (OCR; BLV 741.11), selon lequel le conducteur est tenu de ne pas diminuer la fluidité du trafic en circulant, sans raison impérieuse, à une allure trop réduite, de l'art. 13 al. 1 OCR, selon lequel les conducteurs se mettront à temps en ordre de présélection ainsi que de l'art. 78 de l'ordonnance fédérale du 5 septembre 1979 sur la signalisation routière (OSR; RS 741.21), selon lequel les surfaces interdites au trafic (blanches, hachurées et encadrées) servent au guidage optique du trafic en le canalisant et ne doivent pas être franchies par les véhicules. Il résulte des faits retenus par l'autorité pénale, dont il n'y a pas lieu de s'écarter en l'espèce (cf. supra consid. 3), que le comportement du recourant a notamment eu pour conséquence que les conducteurs qui le suivaient ont dû réduire massivement (" massiv ") leur vitesse et entreprendre des dangereuses manœuvres de dépassement sur la file de gauche entre le véhicule du recourant et la glissière de sécurité. La décision attaquée retient que le comportement précité du recourant a mis en danger la sécurité du trafic si bien que l'infraction doit être qualifiée de moyennement grave. Contrairement à ce que soutient le recourant, on ne saurait prétendre en l'espèce qu'il s'agit d'une infraction légère. Pour des motifs de commodité personnelle, le recourant a en effet brusquement ralenti sur l'autoroute, créant un danger pour les automobilistes qui le suivaient, puis a roulé sur une surface interdite au trafic. On ne saurait considérer dès lors que la sécurité d'autrui n'aurait été mise en danger que de manière légère et que seule une faute légère puisse lui être imputée (cf. dans le même sens arrêt CR.2015.0076 du 20 janvier 2016, consid. 2). Peu importe au demeurant que le comportement du recourant n'ait pas provoqué de mise en danger concrète. En outre, le fait que le recourant se soit trouvé à ce moment-là dans une situation difficile parce que la mère de son fils ne s’était pas présentée la veille au rendez-vous convenu pour lui remettre l’enfant ne saurait constituer un motif permettant d’excuser le comportement du recourant ou de diminuer la gravité de l’infraction commise. C’est donc à juste titre que l’autorité intimée a considéré que le recourant avait commis une infraction moyennement grave le 28 octobre 2019.</w:t>
      </w:r>
    </w:p>
    <w:p>
      <w:r>
        <w:rPr>
          <w:b/>
        </w:rPr>
        <w:t>E. 5</w:t>
      </w:r>
    </w:p>
    <w:p>
      <w:r>
        <w:t>La décision attaquée retire le permis de conduire du recourant pour une durée indéterminée mais d’au moins 24 mois. a) L'art. 16d al. 2 let. e LCR prévoit qu'après une infraction moyennement grave, le permis d'élève conducteur ou le permis de conduire est retiré pour une durée indéterminée, mais pour deux ans au minimum si, au cours des dix dernières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Selon la jurisprudence du Tribunal fédéral, l'art. 16b al. 2 let. e LCR pose une présomption irréfragable d'inaptitude caractérielle à la conduite après quatre infractions moyennement graves. Le retrait de permis de conduire fondé sur cette disposition dont le but est d'exclure de la circulation routière le conducteur multirécidiviste considéré comme un danger public doit donc être considéré comme étant un retrait de sécurité (ATF 139 II 95 consid. 3.4.2). b) En l’espèce, le recourant a commis une infraction légère, bien qu'au seuil de la gravité moyenne, le 25 juillet 2019, ainsi qu'une infraction moyennement grave le 28 octobre 2019. Il résulte en outre du fichier SIAC que le permis de conduire du recourant lui a été retiré à quatre reprises pendant les dix dernières années pour des infractions graves ou moyennement graves, le dernier retrait ayant expiré moins de cinq ans avant l'infraction du 28 octobre 2019. Les conditions posées par l'art. 16b al. 2 let. e LCR sont donc réunies si bien que le permis de conduire du recourant doit lui être retiré pour une durée indéterminée. Certes, la mesure contestée aura des conséquences importantes pour le recourant compte tenu du fait qu’il vit à ********, travaille dans la région de Berne et se rend chaque week-end en France pour aller chercher son fils dans une école privée et rejoindre sa famille qui réside en Isère. Le retrait de sécurité est toutefois la conséquence non seulement des infractions commises en 2019 – et en particulier des faits du 28 octobre 2019 – mais, compte tenu du système en cascade, des précédentes infractions commises par le recourant pendant les dix dernières années. Quoiqu’il en soit, le texte clair de la LCR ne permet pas au tribunal de s’écarter de la mesure de retrait pour une durée indéterminée lorsque les conditions posées par l’art. 16b al. 2 let. e LCR sont remplies. En outre, la durée du retrait prononcé correspond au minimum légal. Le fait  que le recourant ait commis un nombre important d’infractions en peu de temps démontre par là qu’il n’a aucunement pris conscience de la dangerosité de son comportement. La décision attaquée n’apparaît donc pas sous cet angle comme étant particulièrement sévère. Pour le surplus, les conditions auxquelles ont été subordonnées la restitution du droit de conduire du recourant, qui ne sont pas contestées, doivent également être confirmées.</w:t>
      </w:r>
    </w:p>
    <w:p>
      <w:r>
        <w:rPr>
          <w:b/>
        </w:rPr>
        <w:t>E. 6</w:t>
      </w:r>
    </w:p>
    <w:p>
      <w:r>
        <w:t>Mal fondé, le recours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