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CR.2020.0031 vom 20. November 2020</w:t>
      </w:r>
    </w:p>
    <w:p>
      <w:r>
        <w:t>VD Tribunal cantonal, 2020-11-20, FR</w:t>
      </w:r>
    </w:p>
    <w:p>
      <w:r>
        <w:rPr>
          <w:b/>
        </w:rPr>
        <w:t xml:space="preserve">Quelle: </w:t>
      </w:r>
      <w:r>
        <w:t>https://mcp.opencaselaw.ch/entscheid/vd_omni_CR.2020.0031</w:t>
      </w:r>
    </w:p>
    <w:p>
      <w:r>
        <w:t>FR: VD_OMNI CR.2020.0031 du 20 novembre 2020</w:t>
      </w:r>
    </w:p>
    <w:p>
      <w:r>
        <w:t>IT: VD_OMNI CR.2020.0031 del 20 novembre 2020</w:t>
      </w:r>
    </w:p>
    <w:p>
      <w:pPr>
        <w:pStyle w:val="Heading2"/>
      </w:pPr>
      <w:r>
        <w:t>Regeste</w:t>
      </w:r>
    </w:p>
    <w:p>
      <w:r>
        <w:t>A.________/Service des automobiles et de la navigation | Confirmation de la décision du SAN, prononçant à l'égard d'un ressortissant français une interdiction de conduire d'une durée de 14 mois. Il n'y a pas de raison de s'écarter des faits retenus dans l'ordonnance pénale (en particulier le fait que le recourant conduisait son véhicule lors du contrôle de vitesse), que le recourant n'a pas contestée. Recours rejeté.</w:t>
      </w:r>
    </w:p>
    <w:p>
      <w:pPr>
        <w:pStyle w:val="Heading2"/>
      </w:pPr>
      <w:r>
        <w:t>Erwägungen</w:t>
      </w:r>
    </w:p>
    <w:p>
      <w:r>
        <w:rPr>
          <w:b/>
        </w:rPr>
        <w:t>E. 1</w:t>
      </w:r>
    </w:p>
    <w:p>
      <w:r>
        <w:t>Selon l'art. 79 LPA-VD, l'acte de recours doit être signé et indiquer les conclusions et motifs du recours. La décision attaquée est jointe au recours. En l'espèce, le recourant n'a pas produit la décision attaquée. Il a certes indiqué dans son acte vouloir recourir "contre la condamnation à son encontre du 26 mai 2020" mais il fait également référence à deux courriers qu'il a adressés à l'autorité intimée suite à la décision sur réclamation du 8 juillet 2020. Il n'a pas réagi suite à l'avis du juge instructeur l'informant que son acte serait traité comme un recours contre la décision sur réclamation du SAN du 8 juillet 2020 si bien qu'il y a lieu de le traiter comme tel. Pour le surplus, cet acte a été déposé dans le délai légal si bien qu'il y a lieu d'entrer en matière (art. 92 et 95 LPA-VD).</w:t>
      </w:r>
    </w:p>
    <w:p>
      <w:r>
        <w:rPr>
          <w:b/>
        </w:rPr>
        <w:t>E. 2</w:t>
      </w:r>
    </w:p>
    <w:p>
      <w:r>
        <w:t>Le recourant soutient qu'il n'est pas l'auteur de l'excès de vitesse commis le 29 novembre 2019. Il allègue qu'il était occupé à son travail et que c'est sa compagne qui conduisait le véhicule. a)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 cit.; arrêt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arrêt TF 1C_657/2015 précité consid. 2.1).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arrêt TF 1C_274/2010 du 7 octobre 2010 consid. 2.1; arrêt CR.2016.0038 du 7 octobre 2016 consid. 3b/aa).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121 II 214 consid. 3a p. 217; arrêt CR.2016.0038 du 7 octobre 2016 consid. 3b/aa). b) En l'espèce, il est constant que le recourant n'a pas contesté en temps utile l'ordonnance pénale pour laquelle il a été condamné pour les faits précités. Il n'y a en outre aucun motif de s'écarter des faits retenus par l'autorité pénale. En effet, le recourant a spontanément envoyé le formulaire "identité du conducteur responsable" à la Police cantonale en y mettant ses propres coordonnées; il n'a en outre pas réagi lorsque l'autorité intimée l'a informé de l'ouverture de la procédure administrative. Ce n'est qu'après avoir eu connaissance de la mesure prononcée qu'il a soutenu que c'était en réalité sa compagne, également domiciliée en France, qui conduisait, si bien que sa déclaration est sujette à caution. L'attestation de son employeur qu'il a produite dans le cadre de la présente procédure ne permet en outre pas d'établir que le recourant était sur son lieu de travail au moment où l'infraction a été commise. Il pouvait avoir fini sa journée de travail ou se déplacer pour les besoins de celui-ci. Les éléments allégués par le recourant qui n'ont pas été pris en considération par le juge pénal ne sont donc pas en mesure de modifier l'appréciation des faits. Il convient dès lors de retenir que c'est bien le recourant qui conduisait le véhicule immatriculé ******** le 29 novembre 2019 à 15h30. Ce grief doit être rejeté.</w:t>
      </w:r>
    </w:p>
    <w:p>
      <w:r>
        <w:rPr>
          <w:b/>
        </w:rPr>
        <w:t>E. 3</w:t>
      </w:r>
    </w:p>
    <w:p>
      <w:r>
        <w:t>Pour le surplus, le recourant ne remet à juste titre pas à en cause la décision attaquée, que ce soit sur le principe d'une interdiction de conduire en Suisse ou sur la durée de celle-ci. Compte tenu des circonstances, notamment du fait qu'il s'agit du deuxième excès de vitesse correspondant à une faute grave commis en peu de temps par l'intéressé, une interdiction de conduire d'une durée de 14 mois, soit légèrement supérieure au minimum légal en cas de récidive dans un délai de cinq  ans (art. 16c al. 2 LCR), apparaît proportionnée. La décision attaquée doit donc être confirmée.</w:t>
      </w:r>
    </w:p>
    <w:p>
      <w:r>
        <w:rPr>
          <w:b/>
        </w:rPr>
        <w:t>E. 4</w:t>
      </w:r>
    </w:p>
    <w:p>
      <w:r>
        <w:t>Entièrement mal fondé, le recours doit être rejeté et la décision attaquée confirmée. Le recourant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