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CR.2020.0022 vom 16. Oktober 2020</w:t>
      </w:r>
    </w:p>
    <w:p>
      <w:r>
        <w:t>VD Tribunal cantonal, 2020-10-16, FR</w:t>
      </w:r>
    </w:p>
    <w:p>
      <w:r>
        <w:rPr>
          <w:b/>
        </w:rPr>
        <w:t xml:space="preserve">Quelle: </w:t>
      </w:r>
      <w:r>
        <w:t>https://mcp.opencaselaw.ch/entscheid/vd_omni_CR.2020.0022</w:t>
      </w:r>
    </w:p>
    <w:p>
      <w:r>
        <w:t>FR: VD_OMNI CR.2020.0022 du 16 octobre 2020</w:t>
      </w:r>
    </w:p>
    <w:p>
      <w:r>
        <w:t>IT: VD_OMNI CR.2020.0022 del 16 ottobre 2020</w:t>
      </w:r>
    </w:p>
    <w:p>
      <w:pPr>
        <w:pStyle w:val="Heading2"/>
      </w:pPr>
      <w:r>
        <w:t>Regeste</w:t>
      </w:r>
    </w:p>
    <w:p>
      <w:r>
        <w:t>A.________/Service des automobiles et de la navigation | Circulant à 90 km/h sur l'autoroute, le recourant, juste avant d'emprunter la voie de sortie de Coppet, a heurté un véhicule de la DGMR placé sur la bande d'arrêt d'urgence pour signaler des travaux à venir. Pas de blessé, mais des dégâts matériels sur les deux véhicules impliqués. Condamnation par le Préfet à une amende pour violation simple des règles de la circulation routière, en raison d'une inattention à la route et à la circulation ayant entraîné un accident. Compte tenu des antécédents du conducteur, le SAN a prononcé un retrait de sécurité du permis de conduire pour une durée indéterminée mais d'au minimum cinq ans, retenant une infraction qualifiée de moyennement grave. Le recourant soutient que seule une infraction légère peut lui être reprochée. Recours rejeté. Le recourant n'a pas fait preuve de l'attention élémentaire requise d'un conducteur circulant sur l'autoroute à 90 km/h. Il n'a pas pris garde à la présence d'une remorque arrêtée sur le bord de la chaussée malgré les différents signaux avertisseurs mis en place. Il n'a pas été en mesure d'éviter le choc entre son véhicule et cette remorque alors qu'aucun élément extérieur n'est venu perturber sa trajectoire, déviant uniquement en raison de son manque d'attention. Il a créé une mise en danger abstraite accrue (consid. 3). Le retrait de permis prononcé ne peut qu'être confirmé. Le recourant ayant déjà été sanctionné par un précédent retrait de permis au cours des cinq années précédentes et une infraction moyennement grave ayant été commise après la restitution du permis retiré, la mesure prononcée est conforme au système légal (consid. 4).</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 applicable par renvoi de l'art. 99 LPA-VD. Partant, le recours est recevable.</w:t>
      </w:r>
    </w:p>
    <w:p>
      <w:r>
        <w:rPr>
          <w:b/>
        </w:rPr>
        <w:t>E. 2</w:t>
      </w:r>
    </w:p>
    <w:p>
      <w:r>
        <w:t>Sur le fond, le recourant conteste s'être rendu coupable d'une infraction moyennement grave et soutient que les faits, sous l'angle du droit administratif, sont constitutifs d'une infraction légère justifiant le prononcé d'un avertissement dans le respect du principe de proportionnalité. Il rappelle notamment que l'autorité pénale a condamné le recourant pour inattention à la route et à la circulation (art. 3 al. 1 OCR), soit une contravention qui pourrait être sanctionnée par une simple amende d'ordre. a) En matière de répression des infractions relatives à la circulation routière, le droit suisse connaît le système de la double procédure pénale et administrative : le juge pénal se prononce sur les sanctions pénales (amende, peine pécuniaire, travail d'intérêt général ou peine privative de liberté) prévues par les dispositions pénales de la LCR (art. 90 ss LCR) et par le Code pénal (art. 34 ss, 106 et 107 CP), tandis que les autorités administratives compétentes décident de mesures administratives (avertissement ou retrait de permis) prévues par les art. 16 ss LCR (ATF 137 I 363 consid. 2.3). 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(ATF 123 II 97 consid. 3c/aa p. 104; arrêts TF 1C_30/2017 du 21 avril 2017 consid. 2.1; 1C_631/2014 du 20 mars 2015 consid. 2.1). Si les faits retenus au pénal lient en principe l'autorité et le juge administratifs, il en va différemment des questions de droit, en particulier de l'appréciation de la faute et de la mise en danger (cf. arrêts TF 1C_252/2016 du 15 novembre 2016 consid. 4.4; 1C_72/2016 du 11 mai 2016 consid. 2.1; 1C_353/2010 du 12 janvier 2011 consid. 2.1, et les références citées; voir aussi arrêt TF 1C_30/2017 du 21 avril 2017 consid. 2.2.2). On ne saurait dès lors exclure le prononcé d'une mesure administrative pour infraction grave ‑ ou a fortiori moyennement grave ‑ du seul fait de l'existence d'une condamnation pénale pour infraction simple selon l'art. 90 al. 1 LCR (arrêts TF 1C_252/2016 du 15 novembre 2016 consid. 4.4; 1C_72/2016 du 11 mai 2016 consid. 2.1; 1C_146/2015 du 7 septembre 2015 consid. 2.2). b) En l'espèce, il est constant que tant l'autorité pénale que l'autorité administrative ont retenu que le recourant avait fait preuve d'inattention à la hauteur de la sortie autoroutière de Coppet, heurtant une remorque de la DGMR qui se trouvait à l'arrêt munie d'une signalisation en prévision de travaux qui n'avaient pas débuté. Le choc avec la remorque a provoqué l'éclatement du pneu avant droit du véhicule piloté par le recourant, alors que de faibles dégâts ont été constatés sur la remorque de la DGMR. Ainsi, il convient de retenir qu'en raison d'une inattention, le recourant a provoqué un accident ayant entraîné des dommages matériels. Hormis sur la question de savoir où se trouvait exactement ladite remorque (entièrement sur la bande d'arrêt d'urgence ou mordant légèrement sur la piste de circulation), le recourant sollicite du tribunal, non pas qu'il revoie les faits retenus, mais qu'il apprécie le degré de gravité de ceux-ci pour justifier la sanction à intervenir.</w:t>
      </w:r>
    </w:p>
    <w:p>
      <w:r>
        <w:rPr>
          <w:b/>
        </w:rPr>
        <w:t>E. 3</w:t>
      </w:r>
    </w:p>
    <w:p>
      <w:r>
        <w:t>La LCR distingue entre les cas de peu de gravité (art. 16a LCR), les cas de gravité moyenne (art. 16b LCR) et les cas graves (art. 16c LCR). a) Commet une infraction légère la personne qui, en violant les règles de la circulation, met légèrement en danger la sécurité d'autrui alors que seule une faute bénigne peut lui être imputée (art. 16a al. 1 let. a LCR). Commet une infraction moyennement grave la personne qui, en violant les règles de la circulation, crée un danger pour la sécurité d'autrui ou en prend le risque (art. 16b al. 1 let. a LCR). Commet une infraction grave la personne qui, en violant gravement les règles de la circulation, met sérieusement en danger la sécurité d'autrui ou en prend le risque (art. 16c al. 1 let. a LCR). Depuis la révision partielle de la LCR du 14 décembre 2001, la qualification de l'infraction dépend du degré de la mise en danger de la sécurité d'autrui ainsi que de la gravité de la faute imputable au conducteur concerné (cf. Message du Conseil fédéral du 31 mars 1999 concernant la modification de la loi fédérale de la circulation routière, FF 1999 IV p. 4131 ss; Cédric Mizel, Les nouvelles dispositions légales sur le retrait du permis de conduire, in RDAF 2004 I 361; cf. aussi TF arrêt 1C_235/2007 du 29 novembre 2007; arrêts CDAP CR.2016.0059 du 29 mars 2017 consid. 3b; CR.2016.0023 du 21 novembre 2016 consid. 2a). Le législateur conçoit l'art. 16b al. 1 let. a LCR ‑ relatif au retrait du permis de conduire après une infraction moyennement grave ‑ comme l'élément dit de regroupement. Cette disposition n'est ainsi pas applicable aux infractions qui tombent sous le coup des art. 16a al. 1 let. a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(FF 1999 IV 4132 et 4134; ATF 136 II 447 consid. 3.2; 135 II 138 consid. 2.2.2; arrêts TF 1C_766/2013 du 1 er mai 2014 consid. 3.1; 6A.16/2006 du 6 avril 2006 consid. 2.1.1, in JT 2006 I 442). Une infraction est en revanche légère lorsque la faute est légère et la mise en danger légère (art. 16a al. 1 LCR). La faute légère correspond à une négligence légère. Un tel cas de figure est par exemple donné lorsque les conditions de circulation sont bonnes, n'inclinant pas un conducteur moyen – c'est à dire normalement prudent – à une vigilance particulière, et qu'une infraction survient malgré tout à la suite d'une inattention. La faute peut ainsi être légère si l'infraction n'est que l'enchaînement de circonstances malheureuses, ou lorsque seule une légère inattention, ne pesant pas lourd du point de vue de la culpabilité, peut être reprochée au conducteur, lequel a fondamentalement adopté un comportement routier juste. Plus généralement, une faute légère est donnée lorsque le conducteur a pris conscience du danger spécifique et a adapté sa vitesse et sa vigilance en conséquence, mais non pas suffisamment du fait d'une mauvaise appréciation compréhensible du point de vue d'un conducteur moyen. En dernière analyse, la faute légère représente souvent un comportement qui, sans être totalement excusable, bénéficie des circonstances atténuantes, voire relève carrément d'une certaine malchance (cf. Mizel, op. cit.,  p. 387). En principe, une infraction légère est exclue en cas d'accident avec un autre véhicule sans blessé, même si la faute est légère (TF 1C_575/2012 du 5 juillet 2013 consid. 3.3; 1C_156/2010 du 26 juillet 2010 consid. 5.1-5.3; 1C_75/2007 consid. 3.1-3.2). b) La mise en danger est l'élément objectif de toute conduite et de toute infraction routière donnant lieu à une mesure administrative d'admonestation. Le comportement d'un conducteur de véhicule automobile peut générer quatre situations : la mise en danger abstraite ou virtuelle, la mise en danger abstraite accrue (qui est la condition au prononcé d'une mesure administrative), la mise en danger concrète et l'atteinte à l'intégrité physique d'autrui (cf. Mizel, op. cit ., pp. 364 ss). Il y a création d'un danger sérieux pour la sécurité d'autrui non seulement en cas de mise en danger concrète, mais déjà en cas de mise en danger abstraite accrue (ATF 142 IV 93 consid. 3.1; 131 IV 133 consid. 3.2). Il y a mise en danger abstraite accrue lorsqu'une ou des personnes indéterminées auraient pu se trouver potentiellement exposées à un danger pour leur intégrité physique. Lorsque l'on peut objectivement exclure des circonstances la présence de tout tiers, y compris, le cas échéant, du passager du conducteur en infraction, l'imminence du danger peut être niée (TF 6B_117/2015 du 11 février 2016 consid. 13.2). Il convient dès lors d'examiner dans chaque cas quelles sont les circonstances dans lesquelles l'infraction a été commise et quel est le degré de mise en danger d'autrui. c) Dans le cas particulier, la mise en danger créée par l'inattention de A.________ doit sans conteste être qualifiée de grave. Le recourant, circulant à une vitesse d'environ 90 km/h, est en effet entré en collision avec un véhicule arrêté mais très largement visible puisque précisément destiné à avertir de la présence d'un danger particulier. La question de savoir si la remorque de la DGMR était située entièrement sur la bande d'arrêt d'urgence ou au contraire empiétait légèrement sur la voie de circulation est sans incidence; le recourant devait en toutes circonstances être en mesure d'éviter ladite remorque, étant rappelé qu'un premier signal "attention" se trouvait quelques centaines de mètres avant la remorque percutée. Deux feux orange clignotaient pour que les conducteurs soient particulièrement attentifs à l'approche de ce secteur. Aucune circonstance particulière n'explique la trajectoire inadéquate adoptée par le recourant qui s'est déporté sur la droite alors qu'il réfléchissait à la sortie qu'il devait emprunter (Coppet ou Nyon). Certes, l'accident n'a produit que des dégâts matériels et la remorque heurtée n'abritait aucun occupant. Toutefois, survenue sur l'autoroute, à une vitesse d'environ 90 km/h, la collision aurait pu incontestablement mener à des conséquences beaucoup plus graves. Il convient ainsi d'admettre une mise en danger abstraite accrue, constitutive d'une grave mise en danger. Cela exclut d'emblée la possibilité, pour le recourant, de conclure à une infraction légère au sens de l'art. 16a LCR (cf. notamment CDAP CR.2017.0056 du 10 mars 2018 consid. 3b/aa; CR.2015.0090 du 26 avril 2016 consid. 3b/bb). En outre, c'est en vain que le recourant soutient n'avoir commis qu'une faute légère dès lors que l'autorité pénale ne l'a pas sanctionné pour perte de maîtrise et que l'inattention retenue était passible d'une amende d'ordre. L'ordonnance pénale du 19 décembre 2019 condamne le recourant pour violation simple des règles de la circulation routière, en application de l'art. 90 al. 1 LCR (pour avoir enfreint l'art. 3 al. 1 OCR). Or,  l'art. 90 al. 1 LCR réprime aussi bien les infractions légères que les infractions moyennement graves (TF 1C_813/2013 du 9 janvier 2014 consid. 3.4; 6B_1028/2008 du 16 avril 2009 consid. 3.7). Le recourant n'a pas fait preuve de l'attention élémentaire requise d'un conducteur circulant sur l'autoroute à 90 km/h. Il n'a pas pris garde à la présence d'une remorque de la DGMR arrêtée sur le bord de la chaussée, malgré les différents signaux avertisseurs mis en place; il n'a pas été en mesure d'éviter le choc entre son véhicule et cette remorque alors qu'aucun élément extérieur n'est venu perturber sa trajectoire, déviant uniquement en raison de son manque d'attention. Il résulte de ce qui précède que l'autorité intimée a considéré à juste titre que la faute du recourant devait être qualifiée de moyennement grave (art. 16b al. 1 let. a LCR).</w:t>
      </w:r>
    </w:p>
    <w:p>
      <w:r>
        <w:rPr>
          <w:b/>
        </w:rPr>
        <w:t>E. 4</w:t>
      </w:r>
    </w:p>
    <w:p>
      <w:r>
        <w:t>Selon l'art. 16b al. 2 let. f LCR, après une infraction moyennement grave, le permis de conduire est retiré définitivement si, au cours des cinq années précédentes, le permis a été retiré en vertu de la let. e ou de l'art. 16c, al. 2, let. d. En l'occurrence, le recourant s'est vu retirer son permis de conduire pour une durée indéterminée dès le 9 janvier 2015. Cette décision avait été rendue en application de l'art. 16b al. 2 let. e LCR, à la suite du constat d'une infraction moyennement grave aux règles de la circulation routière. La mesure de retrait a été révoquée le 8 janvier 2017, le permis ayant été restitué à cette occasion au recourant. C'est à partir de cette date qu'a commencé à courir le délai de cinq ans de l'art. 16b al. 2 LCR. En effet, en droit de la circulation routière, un conducteur ne se trouve en état de récidive qu'après la fin de l'exécution d'un précédent retrait (ATF 136 II 447 consid. 5.3 p. 455 s.; TF 1C_731/2013 du 10 décembre 2013 consid. 3.4). L'autorité intimée était ainsi fondée, compte tenu de l'antécédent précité, à retirer définitivement le permis de conduire du recourant en raison de l'infraction commise le 21 août 2019. Selon l' art. 17 al. 4 LCR , le permis de conduire retiré définitivement ne peut être restitué qu'aux conditions citées à l' art. 23 al. 3 LCR . A teneur de cette disposition, lorsqu'une mesure frappe depuis cinq ans un conducteur de véhicule, le canton de domicile prendra, sur requête, une nouvelle décision, si l'intéressé rend vraisemblable que la mesure n'est plus justifiée. L'autorité intimée s'est conformée à la loi en considérant que la restitution du droit de conduire ne pouvait pas être demandée avant l'échéance d'un délai d'attente incompressible de cinq ans (cf. TF 1C_622/2014 du 24 avril 2015 consid. 2 ; Mizel, Droit et pratique illustrée du retrait du permis de conduire, 2015, § 57.5, p. 400) et que seuls un rapport favorable d'un psychologue du trafic et l'éventuelle réussite d'un nouvel examen de conduite complet permettraient au recourant de rapporter la preuve de son aptitude retrouvée à la conduite (cf. art. 28 et 28a al. 1 de l'ordonnance réglant l'admission à la circulation routière [OAC; RS 741.51]; TF 1C_153/2015 du 23 avril 2015 consid. 5).</w:t>
      </w:r>
    </w:p>
    <w:p>
      <w:r>
        <w:rPr>
          <w:b/>
        </w:rPr>
        <w:t>E. 5</w:t>
      </w:r>
    </w:p>
    <w:p>
      <w:r>
        <w:t>Il résulte des considérants qui précèdent que le recours doit être rejeté et la décision attaquée confirmée, ce qui rend la requête de mesures provisionnelles sans objet. Le recourant, qui succombe, doit supporter les frais de justice (art. 49 al. 1 et 91 LPA-VD). Il n'est pas alloué de dépens (art. 55 al. 1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