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CR.2020.0012 vom 23. Juni 2020</w:t>
      </w:r>
    </w:p>
    <w:p>
      <w:r>
        <w:t>VD Tribunal cantonal, 2020-06-23, FR</w:t>
      </w:r>
    </w:p>
    <w:p>
      <w:r>
        <w:rPr>
          <w:b/>
        </w:rPr>
        <w:t xml:space="preserve">Quelle: </w:t>
      </w:r>
      <w:r>
        <w:t>https://mcp.opencaselaw.ch/entscheid/vd_omni_CR.2020.0012</w:t>
      </w:r>
    </w:p>
    <w:p>
      <w:r>
        <w:t>FR: VD_OMNI CR.2020.0012 du 23 juin 2020</w:t>
      </w:r>
    </w:p>
    <w:p>
      <w:r>
        <w:t>IT: VD_OMNI CR.2020.0012 del 23 giugno 2020</w:t>
      </w:r>
    </w:p>
    <w:p>
      <w:pPr>
        <w:pStyle w:val="Heading2"/>
      </w:pPr>
      <w:r>
        <w:t>Regeste</w:t>
      </w:r>
    </w:p>
    <w:p>
      <w:r>
        <w:t>A.________/Service des automobiles et de la navigation | Recours déposé contre une décision ordonnant la suppression du marquage figurant sur un véhicule. Par le graphisme et la couleur des peintures, le véhicule du recourant présente un risque de confusion important avec les véhicules de la police fribourgeoise. La décision attaquée ne vise pas à protéger le logo de la police fribourgeoise au sens de la propriété intellectuelle mais cherche à éviter une confusion qui pourrait mettre en péril la sécurité routière. Le véhicule du recourant risque, par son marquage voyant et ambigu, d'attirer le regard des autres usagers de la route et de distraire inutilement leur attention des dangers de la circulation. Rejet du recours.</w:t>
      </w:r>
    </w:p>
    <w:p>
      <w:pPr>
        <w:pStyle w:val="Heading2"/>
      </w:pPr>
      <w:r>
        <w:t>Erwägungen</w:t>
      </w:r>
    </w:p>
    <w:p>
      <w:r>
        <w:rPr>
          <w:b/>
        </w:rPr>
        <w:t>E. 1</w:t>
      </w:r>
    </w:p>
    <w:p>
      <w:r>
        <w:t>a) La décision attaquée n'est pas une mesure de retrait du permis de conduire ou d'interdiction de conduire prononcée à l'égard d'un conducteur au sens de l'art. 21 al. 1 de la loi vaudoise du 25 novembre 1974 sur la circulation routière (LVCR; BLV 741.01), de sorte qu'elle ne peut pas faire l'objet d'une réclamation en vertu de l'alinéa 2 de cette disposition. Elle peut être contestée par la voie du recours direct au Tribunal cantonal, en application de l'art. 92 al. 1 de la loi vaudoise du 28 octobre 2008 sur la procédure administrative (LPA-VD; BLV 173.36; arrêt CR.2017.0026 du 11 août 2017 consid. 1 et les arrêts cités). b) Le recours a été déposé dans le délai de 30 jours dès la notification de la décision attaquée (art. 95 LPA-VD) et respecte les formes prescrites (art. 75 al. 1 let. a, 79 al. 1 et 99 LAP-VD), de sorte qu’il est recevable.</w:t>
      </w:r>
    </w:p>
    <w:p>
      <w:r>
        <w:rPr>
          <w:b/>
        </w:rPr>
        <w:t>E. 2</w:t>
      </w:r>
    </w:p>
    <w:p>
      <w:r>
        <w:t>à 4 (..) Art. 70 Publicité Les exigences requises à l’art. 69, al. 1, s’appliquent à la publicité apposée sur les véhicules. L’autorité compétente selon le droit cantonal peut accorder des dérogations lors de manifestations". L'art. 3 de la loi vaudoise du</w:t>
      </w:r>
    </w:p>
    <w:p>
      <w:r>
        <w:rPr>
          <w:b/>
        </w:rPr>
        <w:t>E. 6</w:t>
      </w:r>
    </w:p>
    <w:p>
      <w:r>
        <w:t>décembre 1988 s ur les procédés de réclame (LPR; BLV 943.11) dispose que dite loi ne s'applique pas aux véhicules à moteur ou remorques immatriculés, soumis à l'OETV à moins que ces véhicules ne soient utilisés dans un but exclusivement publicitaire, ce qui n'est invoqué dans le présent cas. b) En l'espèce, le Tribunal constate tout d'abord que le risque de confusion entre le véhicule du recourant et un véhicule de la police fribourgeoise est important. Le recourant ne peut pas être suivi lorsqu'il affirme que la simple présence de marquage ne suffit pas pour confondre son véhicule avec ceux de la police, dès lors que son véhicule représente une dent et n'est pas muni de gyrophare. En effet, les deux longues doubles bandes orange qui ornent l'avant et l'arrière du véhicule du recourant (de part et d'autre de la dent et de l'inscription) reprennent exactement la couleur et la forme des bandes figurant sur les véhicules de police fribourgeois. La surface couverte par les bandes orange est beaucoup plus importante que la surface occupée par la dent, composée d'une partie bleue et d'une partie orange. Au premier coup d'œil, ce sont les bandes orange qui frappent l'attention des autres usagers de la route. A cela s'ajoute que l'inscription "B.________" figure en noir, comme l'inscription "Police", les deux inscriptions se situant au même endroit du véhicule. Seul un examen plus attentif et une réflexion intellectuelle peuvent ainsi permettre aux autres usagers de comprendre que le véhicule du recourant n'est pas un véhicule de police. Le recourant soutient à juste titre que les art. 69 al. 1 et 70 OETV n'ont pas pour vocation de protéger les logos et marquages de la police fribourgeoise. Il méconnaît toutefois le fait que l'autorité intimée ne vise pas, par la décision qu'elle a rendue, à protéger le logo de la police fribourgeoise au sens de la propriété intellectuelle mais qu'elle cherche à éviter une confusion qui pourrait mettre en péril la sécurité routière. L'autorité souligne à cet égard de manière convaincante que, dès lors que le véhicule du recourant peut être confondu avec un véhicule de police, il attire de manière excessive l'attention des autres usagers de la route, sachant que l'objectif de marquage des voitures de police est précisément d'attirer l'attention des autres usagers sur ces véhicules et de les distinguer des véhicules ordinaires. En d'autres termes, il est souhaitable, sous l'angle de la sécurité routière, que les voitures de polices attirent l'attention des autres usagers de la route. On peut penser à cet égard aux situations d'urgence, dans lesquelles un tel véhicule va enclencher ses feux et sa sirène, ce qui oblique les autres conducteurs à libérer la chaussée immédiatement, au besoin en arrêtant le véhicule. Un tel besoin n'existe par contre pas pour les véhicules ordinaires, respectivement pour le véhicule publicitaire du recourant. Bien plus, il est souhaitable que les véhicules ordinaires n'attirent pas l'attention des autres conducteurs. Or le véhicule du recourant risque par son marquage ambigu, d'attirer le regard des autres usagers de la route et de distraire inutilement leur attention des dangers de la circulation. Au vu de ce qui précède, c'est sans excès ou abus de son pouvoir d'appréciation que l'autorité intimée a considéré que le marquage du véhicule du recourant n'était pas conforme aux art. 69 al. 1 et 70 OETV et qu'il a ordonné sa suppression. 3. Les considérants qui précèdent conduisent au rejet du recours et à la confirmation de la décision attaquée. Le recourant, qui succombe, supportera les frais de la cause (art. 49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