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CR.2020.0001 vom 28. Februar 2020</w:t>
      </w:r>
    </w:p>
    <w:p>
      <w:r>
        <w:t>VD Tribunal cantonal, 2020-02-28, FR</w:t>
      </w:r>
    </w:p>
    <w:p>
      <w:r>
        <w:rPr>
          <w:b/>
        </w:rPr>
        <w:t xml:space="preserve">Quelle: </w:t>
      </w:r>
      <w:r>
        <w:t>https://mcp.opencaselaw.ch/entscheid/vd_omni_CR.2020.0001</w:t>
      </w:r>
    </w:p>
    <w:p>
      <w:r>
        <w:t>FR: VD_OMNI CR.2020.0001 du 28 février 2020</w:t>
      </w:r>
    </w:p>
    <w:p>
      <w:r>
        <w:t>IT: VD_OMNI CR.2020.0001 del 28 febbraio 2020</w:t>
      </w:r>
    </w:p>
    <w:p>
      <w:pPr>
        <w:pStyle w:val="Heading2"/>
      </w:pPr>
      <w:r>
        <w:t>Regeste</w:t>
      </w:r>
    </w:p>
    <w:p>
      <w:r>
        <w:t>A.________/Service des automobiles et de la navigation | Irrecevabilité du recours pour défaut de paiement de l'avance de frais et de l'élection de domicile en Suisse. Recours au TF admis (arrêt 1C_185/2020 du 5 mai 2020).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LPA-VD), - que vu l'absence de domiciliation en Suisse, le présent arrêt sera notifié à l'adresse du Tribunal, conformément à l'art. 17 al. 2 LPA-VD, le recourant recevant toutefois à son adresse à l'étranger une copie pour information du présent arrêt,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