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CR.2019.0038 vom 21. April 2020</w:t>
      </w:r>
    </w:p>
    <w:p>
      <w:r>
        <w:t>VD Tribunal cantonal, 2020-04-21, FR</w:t>
      </w:r>
    </w:p>
    <w:p>
      <w:r>
        <w:rPr>
          <w:b/>
        </w:rPr>
        <w:t xml:space="preserve">Quelle: </w:t>
      </w:r>
      <w:r>
        <w:t>https://mcp.opencaselaw.ch/entscheid/vd_omni_CR.2019.0038</w:t>
      </w:r>
    </w:p>
    <w:p>
      <w:r>
        <w:t>FR: VD_OMNI CR.2019.0038 du 21 avril 2020</w:t>
      </w:r>
    </w:p>
    <w:p>
      <w:r>
        <w:t>IT: VD_OMNI CR.2019.0038 del 21 aprile 2020</w:t>
      </w:r>
    </w:p>
    <w:p>
      <w:pPr>
        <w:pStyle w:val="Heading2"/>
      </w:pPr>
      <w:r>
        <w:t>Regeste</w:t>
      </w:r>
    </w:p>
    <w:p>
      <w:r>
        <w:t>A.________/Service des automobiles et de la navigation | Confirmation du retrait de permis d'une durée de 4 mois prononcé à l'encontre d'un conducteur ayant perdu un porte-ski avec plusieurs paires de skis en circulant sur l'autoroute, provoquant ainsi un accident impliquant plusieurs véhicules. Les conditions permettant selon la jurisprudence à l'autorité administrative de s'écarter du jugement pénal rendu à l'encontre du conducteur recourant ne sont pas remplies en l'espèce, de sorte que c'est à juste titre que l'autorité intimée a tranché sur la base des faits retenus par l'autorité pénale. L'hypothèse d'une utilisation inadéquate du porte-skis par le recourant demeure dès lors la plus vraisemblable (consid. 3). Avant de se mettre en route avec son véhicule, il incombait au recourant de s'assurer avec toute la diligence nécessaire que son chargement était bien arrimé. L'autorité intimée a qualifié la faute commise par l'intéressé de légère, ce qui constitue une appréciation qui lui est plutôt favorable. Quant à la mise en danger créée par le comportement du recourant, elle doit être considérée, à tout le moins, comme moyennement grave au vu de l'accident entre plusieurs véhicules survenu sur l'autoroute, endroit où les conséquences d'un tel évènement peuvent être particulièrement lourdes. C'est dès lors à juste titre que l'autorité intimée a retenu la commission d'une infraction moyennement grave (consid. 5). Vu les antécédents du recourant, une durée de retrait de permis de 4 mois correspond au minimum prévu par la loi. Cette durée est incompressible (consid. 6).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 procédure judiciaire administrative est par ailleurs en principe écrite et les parties sont tenues de collaborer à l'établissement des faits dont elles entendent déduire des droits (cf. art. 27 et 30 LPA-VD).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du recourant, les faits résultant des pièces produites au dossier permettant de trancher la cause en l'état. Dans la mesure utile, il sera revenu plus précisément dans les considérants du présent arrêt sur les motifs présidant au rejet de ces réquisitions. Il sied en outre de relever que, dans le cadre de la procédure devant le Préfet, de l'instruction par le SAN (d'une part avant de rendre la décision du 16 juillet 2019 et d'autre part avant la décision sur réclamation du 13 septembre 2019) et du présent recours, le recourant a eu plusieurs fois la faculté de s'exprimer sur l'ensemble des faits le concernant ainsi que de développer ses moyens en rapport avec sa situation et de produire des pièces.</w:t>
      </w:r>
    </w:p>
    <w:p>
      <w:r>
        <w:rPr>
          <w:b/>
        </w:rPr>
        <w:t>E. 3</w:t>
      </w:r>
    </w:p>
    <w:p>
      <w:r>
        <w:t>Le recourant reproche en substance au dossier pénal d'être lacunaire, de telle sorte qu'il se justifie selon lui pour l'autorité administrative de compléter l'instruction de la cause et de s'écarter des faits retenus dans la décision pénale.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précité consid. 2.3.2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Tribunal fédéral [TF] 1C_502/2011 du 6 mars 2012 consid. 2.1). Si les faits retenus au pénal lient donc en principe l'autorité et le juge administratifs, il en va différemment des questions de droit, en particulier de l'appréciation de la faute et de la mise en danger (TF 1C_202/2018 du 18 septembre 2018 consid. 2.2; 1C_146/2015 du 7 septembre 2015 consid. 2.1; 1C_495/2013 du 7 janvier 2014 consid. 6.1; 1C_280/2012 du 28 juin 2013 consid. 2.1). b) En l'espèce, le recourant soutient en substance que les faits relatés dans le rapport de police du 5 février 2019, sur la base desquels l'autorité pénale s'est fondée pour le condamner par ordonnance pénale du 29 mars suivant, ne sont pas corrects et, partant, qu'ils amènent à des conclusions erronées. Il a d'ailleurs formé opposition à cette ordonnance pénale et a été entendu par le Préfet du district de Lavaux-Oron le 6 mai 2019. A cette occasion, il a expliqué que le porte-skis qu'il avait fixé sur le toit de son véhicule était neuf, qu'il était posé correctement et que le fait qu'il se soit désolidarisé de sa base et soit tombé sur l'autoroute ne pouvait avoir été provoqué que par une défectuosité technique. Il ressort du reste du rapport de police précité que le recourant avait déjà fait les mêmes déclarations aux gendarmes intervenus sur les lieux de l'accident. Toutefois, lors de cette même audience du 6 mai 2019, le recourant a finalement retiré son opposition à l'ordonnance pénale, ce qui a eu pour effet que cette dernière est définitivement entrée en force. Le recourant ne saurait remettre à présent en cause, dans le cadre de la procédure administrative relative au retrait de son permis de conduire, les faits tels qu'ils ont été retenus par l'autorité pénale. En effet, en choisissant de retirer son opposition à l'ordonnance pénale, il a implicitement renoncé à se prévaloir de ce moyen en épuisant les voies de recours à sa disposition. S'étant déjà fait retirer son permis de conduire pour une durée d'un mois l'année précédente en raison d'un excès de vitesse, il ne saurait affirmer qu'il ignorait l'existence d'une double procédure pénale et administrative et le fait de devoir agir préalablement sur le plan pénal. De plus, au regard des circonstances du cas d'espèce (perte de chargement sur l'autoroute avec accident impliquant plusieurs véhicules), il devait s'attendre à la possibilité d'une mesure de retrait de son permis de conduire; à tout le moins, il ne pouvait raisonnablement l'exclure. Le fait qu'il n'a formellement été rendu attentif par le SAN à son obligation de faire valoir tous ses droits dans la procédure pénale qu'en date du 17 mai 2019 – moment auquel l'ordonnance pénale était devenue définitive suite au retrait son opposition – n'y change rien, même s'il aurait sans doute été préférable que la communication de l'ouverture d'une procédure administrative à son encontre lui soit parvenue plus tôt. Au demeurant, les mesures d'instruction dont le recourant requiert maintenant la mise en œuvre, outre le fait qu'on était en droit d'attendre de lui qu'il collabore à l'établissement des faits durant la procédure pénale et fasse valoir celles-ci dans le cadre de cette dernière, ce qu'il n'a pas fait, n'apparaissent de toute manière pas être de nature à permettre de révéler des éléments de fait nouveaux propres à remettre en cause l'état de fait établi. Ainsi, l'audition du garagiste du recourant s'avère dépourvue de pertinence, dans la mesure où le recourant a expliqué, lors de son audition devant le Préfet, qu'il avait lui-même démonté à la fin de la saison de ski puis remonté au début de la nouvelle saison de ski le porte-skis initialement installé par le garagiste sur son véhicule; dans ces conditions, on peine à voir le maintien d'un éventuel lien de causalité entre l'action du garagiste et la perte ultérieure du porte-skis; de surcroît, comme l'indique le recourant, le porte-skis était neuf et n'avait pas connu de problème lors de la première saison de skis, lorsqu'il avait été installé par le garagiste; enfin, le fait que le garagiste aurait par la suite " reconnu entièrement sa responsabilité ", comme l'affirme le recourant, n'est étayé par aucun moyen de preuve, notamment une déclaration écrite du garagiste. Du reste, le recourant avait encore déclaré lors de l'audience devant le Préfet que le garagiste ne comprenait pas pourquoi le porte-ski s'était arraché. De la même manière, on ne voit pas non plus quels faits déterminants pourraient être établis par l'audition des passagers de la voiture du recourant, ni par l'expertise technique des débris du porte-skis récupérés après l'accident, à supposer que celle-ci fût encore possible et pertinente. L'hypothèse d'une utilisation inadéquate du porte-skis par le recourant, telle que retenue par l'autorité pénale, demeure dès lors la plus vraisemblable. Dès lors que le recourant n'a pas utilisé les voies de droit mises à sa disposition et qu'aucune des conditions permettant à l'autorité administrative de s'écarter du jugement pénal n'était remplie, c'est à juste titre que l'autorité intimée a tranché sur la base des faits établis par le prononcé pénal.</w:t>
      </w:r>
    </w:p>
    <w:p>
      <w:r>
        <w:rPr>
          <w:b/>
        </w:rPr>
        <w:t>E. 4</w:t>
      </w:r>
    </w:p>
    <w:p>
      <w:r>
        <w:t>a)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1 OCR précise que le conducteur s'assurera que le véhicule et son chargement répondent aux prescriptions et qu'il dispose des accessoires nécessaires tels que le signal de panne. Conformément à l'art. 30 al. 2 LCR, les véhicules ne doivent pas être surchargés; le chargement doit être disposé de telle manière qu'il ne mette en danger ni ne gêne personne et qu'il ne puisse tomber; tout chargement qui dépasse le véhicule doit être signalé, de jour et de nuit, d'une façon particulièrement visible. Les principes posés par l'art. 30 al. 2 LCR doivent être compris dans un sens strict (Bussy/Rusconi, Code suisse de la circulation routière commenté, 4 ème éd., Bâle 2015, n. 2.2 ad art. 30 LCR). b) En l'espèce, le recourant a fixé sur le toit de sa voiture un porte-skis et l'a chargé avec deux paires de skis et un snowboard, mais sans s'assurer avec toute la diligence requise qu'il était correctement monté et ne présentait aucune défectuosité, si bien que, alors que le recourant circulait sur l'autoroute, ce dispositif s'est désolidarisé de sa base et s'est envolé avec son chargement sur la chaussée opposée, où il a heurté un premier véhicule et a entraîné une collision entre deux autres voitures. Cela étant, c'est à juste titre que l'autorité intimée a retenu que le recourant avait contrevenu aux dispositions de la LCR et de l'OCR précitées.</w:t>
      </w:r>
    </w:p>
    <w:p>
      <w:r>
        <w:rPr>
          <w:b/>
        </w:rPr>
        <w:t>E. 5</w:t>
      </w:r>
    </w:p>
    <w:p>
      <w:r>
        <w:t>a) La loi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plus si le conducteur en cause présente des antécédents (art. 16b al. 2 let. b à f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plus, voire définitivement, si le conducteur en cause présente des antécédents ou a commis un délit de chauffard (art. 16c al. 2 let. a bis à e LCR).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Droit et pratique illustrée du retrait du permis de conduire, Berne 2015, ch. 56, pp. 389-396; TF 1C_87/2009 du 11 août 2009 consid. 3.1; ATF 136 II 447 consid. 3.2; 135 II 138 consid. 2.2.2; TF 6A.16/2006 du 6 avril 2006 consid. 2.1.1, in JT 2006 I 442). b) En l'espèce, l'autorité intimée a considéré que l'infraction commise par le recourant devait être qualifiée de moyennement grave, dès lors que la mise en danger créée par le comportement de l'intéressé devait être qualifiée de moyennement grave et que la faute pouvait être qualifiée de légère. aa)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(cf. Mizel, op. cit., ch. 41 à 48, pp. 253-302). La mise en danger concrète représente un risque élevé de blessures pour une personne concrète; elle consiste généralement en une collision avec un autre véhicule; toutefois, le simple fait d'adopter une conduite résolument dangereuse constitue déjà une mise en danger concrète des passagers et des autres usagers de la route (idem, ch. 46, pp. 296 s.). Pour qu'une infraction à la LCR soit considérée comme grave, la mise en danger doit avoir atteint le stade de "mise en danger abstraite accrue" ou de "mise en danger concrète" (idem, ch. 57.1, p. 397). En l'occurrence, le comportement du recourant a mis concrètement en danger la sécurité d'autrui. Les objets (porte-skis, deux paires de skis et un snowboard) qui se sont libérés du toit de sa voiture alors qu'il circulait ont percuté un premier véhicule et ont provoqué une collision entre les deux autres automobiles qui le suivaient et qui ont dû effectuer un freinage d'urgence. Les trois véhicules impliqués ont subi des dommages divers, et le dernier a dû être pris en charge par un dépanneur. Les conducteurs des deuxième et troisième voitures se sont plaints de douleurs à la nuque et au dos, respectivement au thorax, et ont fait part de leur intention de consulter un médecin, tout comme la passagère du deuxième véhicule. Si cet événement n'a heureusement pas connu de conséquences plus graves, il n'en demeure pas moins que les personnes concernées ont couru un risque élevé de blessures, les conséquences des accidents sur les autoroutes pouvant être particulièrement lourdes en raison de la vitesse élevée des usagers (ATF 102 IV 42 consid. 2 et les références citées). En outre, la gravité de la mise en danger s'apprécie non seulement d'après des données concrètes, mais aussi selon l'expérience de la vie, c'est-à-dire en fonction des conséquences qui – selon le cours ordinaire des choses – auraient pu se produire (ATF 108 Ib 67). Dans les circonstances d'espèce, l'accident aurait pu avoir des conséquences fatales, notamment en présence de motocyclistes, qui sont notoirement plus vulnérables, mais également si les objets perdus avaient percutés, voire brisés par exemple les pare-brises d'autres voitures. Dans ces conditions, la mise en danger créée par le comportement du recourant ne saurait être considérée autrement que moyennement grave, à tout le moins. bb) Avant de se mettre en route avec son véhicule, il incombait au recourant de s'assurer avec toute la diligence nécessaire que son chargement était bien arrimé. L'intéressé soutient qu'il avait pris toutes les précautions nécessaires avant de prendre la route, qu'il n'a commis aucune faute et que l'accident est dû à des circonstances dont il n'est pas responsable. Une faute particulièrement légère, au sens de l'art. 16a al. 4 LCR, est donnée lorsqu'un incident routier paraît être plus la conséquence d'un coup du sort que d'une véritable "faute" du conducteur. Dans un tel cas de figure, c'est généralement au regard de l'ensemble des circonstances extérieures que la faute de l'auteur doit apparaître particulièrement légère, une telle faute n'étant normalement pas donnée en cas de violation d'une règle fondamentale pour la sécurité routière (Mizel, op. cit., ch. 50, p. 337 et les réf. cit.; TF 6S.219/2005 du 24 juin 2005 consid. 3). Dans sa jurisprudence, la cour de céans a notamment jugé qu'un conducteur qui avait fermé la porte coulissante de sa remorque, sans toutefois la bloquer avec le dispositif de fermeture, ce qui avait eu pour conséquence qu'un transpalette électrique d'environ une tonne était tombé de la remorque sur la chaussée lors de son entrée sur l'autoroute, avait commis une faute moyennement grave (CDAP CR.2012.0067 du 19 février 2013). Dans un autre arrêt, la cour a confirmé qu'un conducteur qui n'avait pas arrimé suffisamment solidement son chargement, dont cinq ballots d'isolants étaient tombés sur les voies de circulation de l'autoroute, heureusement sans gêner d'autres usagers, avait commis une faute légère (CDAP CR.2013.0068 du 31 octobre 2013). Enfin, le tribunal a confirmé le prononcé d'un avertissement pour faute de peu de gravité à l'encontre d'un chauffeur qui avait omis de contrôler la sécurité du chargement de son camion le matin du départ, alors qu'il avait été victime d'un acte de vandalisme durant la nuit (perte de sacs de vêtements sur l'autoroute due au fait que les sécurités assurant la fermeture de la bâche avaient été sectionnées; CDAP CR.2000.0187 du 20 avril 2001). En l'occurrence, l'autorité intimée a qualifié la faute du recourant de légère, ce qui constitue une appréciation plutôt favorable à l'intéressé. Quoi qu'il en soit, même si la faute du recourant devait être considérée en définitive comme particulièrement légère, ce qui paraît douteux a priori car il ne ressort pas du dossier d'indices dans le sens que le recourant aurait été la victime de circonstances particulières échappant à ses possibilités de connaissance et d'action (cf. consid. 3b ci-dessus), l'infraction commise ne pourrait malgré tout pas être qualifiée de légère ou de particulièrement légère, dès lors que la mise en danger est qualifiée de moyennement grave. cc) Cela étant, c'est à juste titre que l'infraction commise a été qualifiée de moyennement grave par l'autorité intimée.</w:t>
      </w:r>
    </w:p>
    <w:p>
      <w:r>
        <w:rPr>
          <w:b/>
        </w:rPr>
        <w:t>E. 6</w:t>
      </w:r>
    </w:p>
    <w:p>
      <w:r>
        <w:t>a) Après une infraction moyennement grave, le permis de conduire est retiré pour quatre mois au minimum si, au cours des deux années précédentes, le permis a été retiré une fois en raison d'une infraction grave ou moyennement grave (art. 16b al. 2 let. b LCR). 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les cas d'application de l'art. 16b LCR, il n'est ainsi pas possible, même dans des circonstances particulières, de retirer le permis de conduire pour une durée inférieure aux durées minimales prévues par cette disposition (cf. ATF 132 II 234 consid. 2; TF 6A.100/2006 du 28 mars 2007 consid. 4; CDAP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16b LCR (CDAP CR.2009.0022 du 27 novembre 2009 consid. 2b; CR.2009.0025 du 6 janvier 2010 consid. 2). b) En l'occurrence, en ayant commis une infraction moyennement grave moins de deux ans après avoir fait l'objet d'une mesure de retrait du permis de conduire d'un mois pour une infraction moyennement grave, le recourant tombe sous le coup de l'art. 16b al. 2 let. b LCR. La décision attaquée s'en tenant à la durée correspondant au minimum légal prévu par le législateur, soit quatre mois, elle échappe à la critique.</w:t>
      </w:r>
    </w:p>
    <w:p>
      <w:r>
        <w:rPr>
          <w:b/>
        </w:rPr>
        <w:t>E. 7</w:t>
      </w:r>
    </w:p>
    <w:p>
      <w:r>
        <w:t>Les considérants qui précèdent conduisent au rejet du recours et à la confirmation de la décision attaquée. Le SAN fixera un nouveau délai au recourant pour le dépôt de son permis de conduire. Les frais de justice sont mis à la charge du recourant, qui succombe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