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CR.2017.0057 vom 27. Februar 2018</w:t>
      </w:r>
    </w:p>
    <w:p>
      <w:r>
        <w:t>VD Tribunal cantonal, 2018-02-27, FR</w:t>
      </w:r>
    </w:p>
    <w:p>
      <w:r>
        <w:rPr>
          <w:b/>
        </w:rPr>
        <w:t xml:space="preserve">Quelle: </w:t>
      </w:r>
      <w:r>
        <w:t>https://mcp.opencaselaw.ch/entscheid/vd_omni_CR.2017.0057</w:t>
      </w:r>
    </w:p>
    <w:p>
      <w:r>
        <w:t>FR: VD_OMNI CR.2017.0057 du 27 février 2018</w:t>
      </w:r>
    </w:p>
    <w:p>
      <w:r>
        <w:t>IT: VD_OMNI CR.2017.0057 del 27 febbraio 2018</w:t>
      </w:r>
    </w:p>
    <w:p>
      <w:pPr>
        <w:pStyle w:val="Heading2"/>
      </w:pPr>
      <w:r>
        <w:t>Regeste</w:t>
      </w:r>
    </w:p>
    <w:p>
      <w:r>
        <w:t>A.________/Service des automobiles et de la navigation | Commet une infraction grave l'automobiliste qui circule sur la voie gauche de l'autoroute derrière une voiture, profite d'un espace libre d'environ 300 mètres sur la voie de droite pour s'y déporter et la contourner avant de se rabattre sur la voie de gauche devant elle, cet qui constitue un dépassement par la droite prohibé. Confirmation du retrait du permis de conduire durant 3 mois en l'absence d'antécédent.</w:t>
      </w:r>
    </w:p>
    <w:p>
      <w:pPr>
        <w:pStyle w:val="Heading2"/>
      </w:pPr>
      <w:r>
        <w:t>Erwägungen</w:t>
      </w:r>
    </w:p>
    <w:p>
      <w:r>
        <w:rPr>
          <w:b/>
        </w:rPr>
        <w:t>E. 1</w:t>
      </w:r>
    </w:p>
    <w:p>
      <w:r>
        <w:t>Le recourant demande que les gendarmes auteurs de la dénonciation soient entendus. Leur audition devrait permettre de déterminer ce que signifie concrètement le fait que la conductrice dépassée n'a pas semblé gênée par la manœuvre de dépassement, ainsi que l'incidence de la manœuvre sur les autres usagers de la route, il en va selon eux de l'appréciation de la faute et de la mise en danger, qui doivent se faire de manière concrète.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Si les faits retenus au pénal lient en principe l'autorité et le juge administratifs, il en va différemment des questions de droit, en particulier de l'appréciation de la faute et de la mise en danger (arrêt 1C_353/2010 du 12 janvier 2011 consid. 2.1 et les références). On ne saurait dès lors exclure le prononcé d'une mesure administrative pour infraction grave selon l'art. 16c al. 1 let. a LCR du seul fait de l'existence d'une condamnation pénale pour infraction simple selon l'art. 90 al. 1 LCR (arrêt 1C_146/2015 du 7 septembre 2015 consid. 2.2). Dans le cas particulier, le juge pénal a condamné le recourant après l'avoir entendu. Son prononcé retient l'existence d'un espace libre d'environ trois cents mètres sur la voie de droite au moment où la manœuvre incriminée a eu lieu. L'ordonnance pénale ne retient pas que le recourant aurait gêné dans sa manœuvre la conductrice dépassée ou les autres usagers de l'autoroute. Sur le plan des faits, on ne voit pas ce que l'audition des gendarmes pourrait apporter de plus à ce sujet. Quant à savoir comment qualifier la faute et la mise en danger dans le cas particulier, il s'agit d'une question de droit que l'autorité administrative était libre d'apprécier différemment de l'autorité pénale (arrêt 1C_353/2010 du 12 janvier 2011 consid. 2.1 précité). Dans ces conditions, l'audition des gendarmes ne sera pas ordonnée.</w:t>
      </w:r>
    </w:p>
    <w:p>
      <w:r>
        <w:rPr>
          <w:b/>
        </w:rPr>
        <w:t>E. 2</w:t>
      </w:r>
    </w:p>
    <w:p>
      <w:r>
        <w:t>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TF, arrêt 6A.16/2006 du 6 avril 2006 consid. 2.1.1 in JdT 2006 I 442). L'infraction grave au sens de l'art. 16c al.1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consid. 3.2; en outre, arrêts CR.2014.0061 du 9 octobre 2014, CR.2012.0004 du 8 mars 2012 et CR.2010.0076 du 7 juin 2011, ainsi que les références citées). c) Aux termes de l'art. 35 al. 1 LCR, les dépassements se font par la gauche. On en déduit l'interdiction du dépassement par la droite. La jurisprudence récente (cf. arrêt 1C_72/2016 du 11 mai 2016 consid. 2.3) rappelle qu'il y a dépassement lorsqu'un véhicule plus rapide rattrape un véhicule circulant plus lentement dans la même direction, le devance et poursuit sa route devant lui. Par ailleurs, il y a dépassement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(ATF 126 IV 192 consid. 2a; 115 IV 244 consid. 2 et 3). Selon la jurisprudence,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manœuvre et amenés à un freinage intempestif (ATF 126 IV 192 consid. 3; arrêt 1C_93/2008 du 2 juillet 2008 consid. 2.3). Le Tribunal fédéral a récemment précisé sa jurisprudence relative au trafic en files parallèles sur l'autoroute (ATF 142 IV 93 consid. 4.1; ég. 1C_72/2016 du 11 mai 2016; 6B_263/2016 du 24 mai 2016): il a admis que le passage d'un véhicule de la voie de gauche sur la voie de droite, hors processus de "slalom" et sans accélération, n'était pas considéré comme illicite si cette manœuvre survenait en raison de la décélération du trafic sur la voie de gauche alors que la voie de droite se trouvait libre. Rappelant les critiques formulées par le doctrine (ATF 142 précité consid. 3.4), le Tribunal fédéral n'en a pas moins maintenu sa jurisprudence relative au dépassement classique par la droite, à savoir lorsqu'un conducteur passe de gauche à droite puis se rabat sur la voie de gauche après avoir devancé des véhicules automobiles (arrêt précité consid. 5.1). Ce comportement demeure constitutif de violation grave des règles de la circulation routière (arrêt 6B_210/2014 du 28 juillet 2014 consid. 2; André Bussy et al., Code suisse de la circulation routière commenté, 4e éd. 2015, n. 2.5.c ad art. 35 LCR). Cela étant, le Tribunal fédéral a tout de même précisé, dans un arrêt 6A.15/1992 du 24 mars 1992, cité par Cédric Mizel, Droit et pratique illustrée du retrait du permis de conduire, 2015, n. 1777, p. 366), que si le dépassement ou le devancement par la droite est illicite, il ne suffit pas qu'il se soit produit sur une autoroute pour qu'il puisse être qualifié de grave mise en danger de la circulation.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d) Le juge pénal a retenu que le recourant, qui circulait sur la voie gauche de l'autoroute derrière une voiture de tourisme, avait profité d'un espace libre d'environ 300 mètres sur la voie de droite pour s'y déporter et la contourner avant de se rabattre sur la voie de gauche devant elle. A juste titre, le recourant ne conteste pas que cette manœuvre soit qualifiée de dépassement par la droite, prohibé par l'art. 35 al. 1 LCR. Cette manœuvre serait selon lui constitutive d'une faute moyennement grave puisqu'il disposait d'un espace de 300 mètres pour effectuer sa manœuvre et qu'il n'a gêné ni la conductrice du véhicule dépassé ni les autres usagers de la route. Même à supposer que la conductrice qui précédait le recourant occupait depuis longtemps, sans raison et sans droit la piste de gauche et disposait d'un espace libre suffisant pour se rabattre sur la piste de droite, il faut garder à l'esprit que dans le cas d'espèce, le trafic était dense, qu'il s'écoulait plus ou moins en files parallèles et que les vitesses étaient élevées (le recourant a lui-même reconnu que le véhicule qui le précédait roulait à environ 80 km/h). On est donc loin du cas de figure décrit dans l'arrêt 6A.15/1992 du 24 mars 1992 précité, où un automobiliste rattrapait progressivement et prudemment par la droite un véhicule qui occupait longtemps sans droit et sans raison la piste de gauche. Ici, l'autorité pouvait retenir que le recourant, en se décalant sur la droite avant d'accélérer pour rattraper le véhicule dépassé et se rabattre devant lui, avait adopté délibérément un comportement dont le caractère dangereux ne pouvait pas lui échapper, vu la densité du trafic et les vitesses élevées, qui impliquaient une plus grande discipline et des égards redoublés de la part du recourant. A tout le moins, une négligence grossière doit être reprochée à ce dernier, de sorte que la faute commise ne peut être que qualifiée de grave. Même si le recourant n'a pas concrètement mis en danger la circulation (il n'y a pas eu d'accident), il a néanmoins créé une mise en danger abstraite importante du trafic. Le risque d'accident était ainsi potentiellement élevé, avec des conséquences vraisemblablement graves. Conformément à la jurisprudence rappelée ci-dessus, la mise en danger créée par le dépassement par la droite entrepris par le recourant doit être qualifiée de grave. Le fait qu'aucun usager n'ait finalement été gêné par la manœuvre n'est pas déterminant (arrêt CR.2015.0083 du 7 janvier 2016 consid. 2d et les arrêts cités). La double condition de gravité de la faute et de la mise en danger étant réalisée, c'est à juste titre que l'autorité intimée a qualifié l'infraction commise de grave au sens de l'art. 16c al. 1 let. a LCR.</w:t>
      </w:r>
    </w:p>
    <w:p>
      <w:r>
        <w:rPr>
          <w:b/>
        </w:rPr>
        <w:t>E. 3</w:t>
      </w:r>
    </w:p>
    <w:p>
      <w:r>
        <w:t>a) Selon l'art. 16c al. 2 LCR, après une infraction grave, le permis de conduire est retiré pour trois mois minimum (let. a).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Dans le cas d'espèce, l'autorité intimée a prononcé un retrait du permis de conduire du recourant d'une durée de trois mois. Cette sanction, conforme à la durée minimale ne peut être réduite pour tenir compte du besoin professionnel de conduire un véhicule automobile. Elle ne peut être que confirmée.</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