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CR.2017.0028 vom 5. Januar 2018</w:t>
      </w:r>
    </w:p>
    <w:p>
      <w:r>
        <w:t>VD Tribunal cantonal, 2018-01-05, FR</w:t>
      </w:r>
    </w:p>
    <w:p>
      <w:r>
        <w:rPr>
          <w:b/>
        </w:rPr>
        <w:t xml:space="preserve">Quelle: </w:t>
      </w:r>
      <w:r>
        <w:t>https://mcp.opencaselaw.ch/entscheid/vd_omni_CR.2017.0028</w:t>
      </w:r>
    </w:p>
    <w:p>
      <w:r>
        <w:t>FR: VD_OMNI CR.2017.0028 du 5 janvier 2018</w:t>
      </w:r>
    </w:p>
    <w:p>
      <w:r>
        <w:t>IT: VD_OMNI CR.2017.0028 del 5 gennaio 2018</w:t>
      </w:r>
    </w:p>
    <w:p>
      <w:pPr>
        <w:pStyle w:val="Heading2"/>
      </w:pPr>
      <w:r>
        <w:t>Regeste</w:t>
      </w:r>
    </w:p>
    <w:p>
      <w:r>
        <w:t>A.________/Service des automobiles et de la navigation | Rejet du recours et confirmation de la décision par laquelle le Service des automobiles et de la navigation a retiré au recourant le permis de circulation collectif et les plaques professionnelles dont il était titulaire. Retrait prononcé à juste titre étant donné que le recourant a présenté à de nombreuses reprises des véhicules mal préparés à l'inspection technique, lesquels présentaient des défectuosités importantes, parfois après plusieurs contrôles, et qu'il n'a pas modifié son comportement malgré trois avertissements. Pas de violation de la liberté économique en l'espèce.</w:t>
      </w:r>
    </w:p>
    <w:p>
      <w:pPr>
        <w:pStyle w:val="Heading2"/>
      </w:pPr>
      <w:r>
        <w:t>Erwägungen</w:t>
      </w:r>
    </w:p>
    <w:p>
      <w:r>
        <w:rPr>
          <w:b/>
        </w:rPr>
        <w:t>E. 1</w:t>
      </w:r>
    </w:p>
    <w:p>
      <w:r>
        <w:t>La décision attaquée n'est pas une mesure de retrait du permis de conduire ou d'interdiction de conduire prononcée à l'égard d'un conducteur au sens de l'art. 21 al. 1 de la loi vaudoise du 25 novembre 1974 sur la circulation routière (LVCR; RSV 741.01), de sorte qu'elle ne peut pas faire l'objet d'une réclamation en vertu de l'alinéa 2 de cette disposition. Elle peut être contestée par la voie du recours direct au Tribunal cantonal, en application de l'art. 92 al. 1 de la loi vaudoise du 28 octobre 2008 sur la procédure administrative (LPA-VD; RSV 173.36; arrêt CR.2017.0026 du 11 août 2017 consid. 1 et les arrêts cités). Le recours au Tribunal cantonal s'exerce dans les 30 jours dès la notification de la décision attaquée (art. 95 LPA-VD). L'autorité qui s'estime incompétente transmet la cause sans délai à l'autorité qu'elle juge compétente (art. 7 al. 1 LPA-VD). Lorsqu'une partie s'adresse en temps utile à une autorité incompétente, le délai est réputé sauvegardé. Dans ce cas, l'autorité saisie à tort atteste la date de réception (art. 20 al. 2 LPA-VD). b) Le recourant a contesté la décision du SAN du 23 mai 2017 par lettre adressée à cette autorité le 31 mai 2017 et réceptionnée au plus tard le 6 juin 2017, date de sa transmission à la Cour de droit administratif et public. Le délai de recours a donc été respecté. Le recourant, destinataire de la décision lui retirant le permis de circulation collectif a de plus qualité pour recourir et le recours respecte les formes prescrites (art. 75 al. 1 let. a, 79 al. 1 et 99 LAP-VD). Il y a donc lieu d'entrer en matière.</w:t>
      </w:r>
    </w:p>
    <w:p>
      <w:r>
        <w:rPr>
          <w:b/>
        </w:rPr>
        <w:t>E. 2</w:t>
      </w:r>
    </w:p>
    <w:p>
      <w:r>
        <w:t>Le litige porte sur le bien-fondé du retrait du permis de circulation collectif et des plaques professionnelles dont est titulaire le recourant. Le recourant fait valoir qu'il avait deux véhicules VW Lupo, l'un destiné à l'export et l'autre devant être immatriculé en Suisse, et que sa collaboratrice les a confondus et a présenté le premier au lieu du second au contrôle. a) Selon l'art. 23a al. 1 OAV, le permis de circulation collectif sera retiré lorsque les conditions de la délivrance ne sont plus remplies. D'après l'art. 23 al. 1 let. b OAV, une de ces conditions est que l'entreprise bénéficiaire offre la garantie de l'utilisation irréprochable du permis de circulation collectif. Aux termes de l'art. 23a al. 2 OAV, la garantie de l'usage irréprochable du permis de circulation collectif n'est plus assurée notamment lorsque le titulaire du permis en a fait ou a toléré un usage abusif, par exemple en négligeant d'exercer la surveillance nécessaire ou en mettant en circulation un véhicule qui ne présente pas toutes les garanties de sécurité. Dans les cas de peu de gravité, le titulaire du permis peut être menacé d'un retrait. c) En l'occurrence, le recourant a présenté à plusieurs reprises, en octobre 2012, février 2016, avril 2016 et février 2017, sous le couvert de ses plaques professionnelles, des véhicules pas du tout ou mal préparés à l'inspection technique. Deux de ces véhicules ont en outre été jugés non conformes après un second, respectivement un troisième contrôle. De surcroît, les défectuosités constatées n'étaient pas mineures, puisqu'elles concernaient notamment l'éclairage, les suspensions, les freins et le moteur s'agissant du véhicule présenté en février 2017. En raison de ces faits, le recourant a reçu un premier avertissement le 22 octobre 2012, un deuxième avertissement le 12 mai 2015, puis un ultime avertissement le 27 février 2017. A cette occasion, il a par ailleurs été informé que le permis de circulation collectif et les plaques professionnelles lui seraient retirés en cas de nouvelle négligence de sa part. Malgré ces avertissements, le recourant n'a toutefois pas modifié son comportement, puisqu'il a une nouvelle fois présenté un véhicule mal préparé au contrôle technique le 18 mai 2017. Les défectuosités alors constatées étaient importantes, puisqu'elles concernaient l'éclairage, l'équipement, la direction, les nuisances et les freins. Dans ces conditions, un nouvel avertissement ne pouvait entrer en ligne de compte et c'est à juste titre que l'autorité intimée a prononcé le retrait du permis de circulation collectif et des plaques professionnelles. Le recourant ne saurait se retrancher continuellement derrière les demandes de ses clients, aussi importants fussent-ils, ou les erreurs de ses employés. La garantie de l'usage irréprochable du permis de circulation collectif n'est en effet plus assurée notamment lorsque le titulaire de ce permis a négligé d'exercer la surveillance nécessaire ou qu'il a mis en circulation un véhicule ne présentant pas toutes les garanties de sécurité. Tel est le cas en l'espèce, alors que le recourant avait pourtant assuré à l'autorité intimée le 23 février 2017, soit moins de trois mois seulement avant le contrôle à l'origine de la décision litigieuse, qu'il vérifierait à l'avenir chaque véhicule avant l'inspection.</w:t>
      </w:r>
    </w:p>
    <w:p>
      <w:r>
        <w:rPr>
          <w:b/>
        </w:rPr>
        <w:t>E. 3</w:t>
      </w:r>
    </w:p>
    <w:p>
      <w:r>
        <w:t>Le recourant se prévaut par ailleurs du fait que le retrait des plaques professionnelles ne lui permettra pas de continuer son activité. Il invoque à cet égard la garantie constitutionnelle de la liberté économique. a) La garantie de la liberté économique, ancrée à l'art. 27 Cst., n'est pas absolue. Comme tout droit fondamental, elle peut être restreinte à condition de reposer sur une base légale, d'être justifiée par un intérêt public et de respecter le principe de proportionnalité (art. 36 Cst; ATF 137 I 167 consid. 3.6 et les arrêts cités; 136 IV 97 consid. 5.2.2). Ce dernier principe exige qu'une mesure restrictive soit apte à produire les résultats escomptés et que ceux-ci ne puissent être atteints par une mesure moins incisive; en outre, il interdit toute limitation allant au-delà du but visé et il exige un rapport raisonnable entre celui-ci et les intérêts publics et privés compromis (ATF 137 I 167 consid. 3.6 et les arrêts cités; 136 IV 97 consid. 5.2.2). b) Le retrait du permis de circulation collectif et des plaques professionnelles se fonde sur les art. 25 al. 2 let. d de la loi fédérale du 19 décembre 1958 sur la circulation routière (LCR; RS 741.01) et 23a OAV. Ces dispositions, tout comme la législation sur la circulation routière de manière générale, poursuivent un objectif de sécurité publique. La mesure repose donc sur une base légale et est justifiée par un intérêt public. Sous l'angle de la proportionnalité, compte tenu de l'absence totale d'effet des avertissements prononcés, le retrait du permis de circulation collectif et des plaques professionnelles s'impose afin de préserver la sécurité routière. Les manquements qui sont reprochés au recourant sont en effet sérieux, puisque les défectuosités constatées lors des contrôles techniques portent en particulier sur l'éclairage, la direction, les nuisances, les freins et le moteur. Par ailleurs, s'il est vrai que sans permis de circulation collectif le recourant ne pourra plus exercer certaines de ses activités, il ne sera toutefois pas empêché de poursuivre l'exploitation d'un garage. Il n'est de plus pas établi que les conséquences économiques de la mesure prononcée menaceraient son existence. La durée indéterminée de la mesure ne contrevient pas non plus au principe de proportionnalité puisque le recourant pourra en demander le réexamen en cas de modification des circonstances, en particulier s'il offre à nouveau la garantie de l'utilisation irréprochable du permis de circulation collectif (dans un arrêt CR.2008.0055 du 31 juillet 2008, le tribunal a confirmé une décision du SAN subordonnant une demande de réexamen à un délai d'attente d'une année et à la présentation de 40 rapports d'inspections techniques de véhicules jugés conformes). En définitive, l'intérêt public à la sécurité routière l'emporte en l'occurrence sur l'intérêt économique du recourant.</w:t>
      </w:r>
    </w:p>
    <w:p>
      <w:r>
        <w:rPr>
          <w:b/>
        </w:rPr>
        <w:t>E. 4</w:t>
      </w:r>
    </w:p>
    <w:p>
      <w:r>
        <w:t>Il découle des considérants qui précèdent que le recours, mal fondé, doit être rejeté et la décision attaquée confirmée. Vu le sort de la cause, un émolument de justice est mis à la charge du recourant (art. 49 al. 1 LPA-VD). Il n'est pas alloué de dépens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