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CR.2016.0051 vom 19. Dezember 2016</w:t>
      </w:r>
    </w:p>
    <w:p>
      <w:r>
        <w:t>VD Tribunal cantonal, 2016-12-19, FR</w:t>
      </w:r>
    </w:p>
    <w:p>
      <w:r>
        <w:rPr>
          <w:b/>
        </w:rPr>
        <w:t xml:space="preserve">Quelle: </w:t>
      </w:r>
      <w:r>
        <w:t>https://mcp.opencaselaw.ch/entscheid/vd_omni_CR.2016.0051</w:t>
      </w:r>
    </w:p>
    <w:p>
      <w:r>
        <w:t>FR: VD_OMNI CR.2016.0051 du 19 décembre 2016</w:t>
      </w:r>
    </w:p>
    <w:p>
      <w:r>
        <w:t>IT: VD_OMNI CR.2016.0051 del 19 dicembre 2016</w:t>
      </w:r>
    </w:p>
    <w:p>
      <w:pPr>
        <w:pStyle w:val="Heading2"/>
      </w:pPr>
      <w:r>
        <w:t>Regeste</w:t>
      </w:r>
    </w:p>
    <w:p>
      <w:r>
        <w:t>A.________/Service des automobiles et de la navigation | Décision du SAN de retrait de permis de trois mois pour avoir circulé à une distance insuffisante du véhicule précédant celui du recourant. Rapport de police retenant un intervalle de 5 m entre les véhicules à une vitesse de 80 km/h. Ordonnance préfectorale condamnant le recourant pour violation simple des règles de la LCR sur la base du rapport de police. Absence d'opposition du recourant. Pas de motif pour s'écarter des faits retenus par le rapport de police, lesquels sont constitutifs d'une faute grave. La sanction prononcée par le SAN, correspondant au minimum légal, est adéquate en l'espèce. Recours rejeté. Recours au Tribunal fédéral rejeté dans la mesure de sa recevabilité (1C_30/2017 du 21 avril 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à l'autorité intimée de n'avoir pas examiné les griefs soulevés dans la réclamation relatifs à l'établissement des faits, en violant ainsi son droit d'être entendu. a) Le droit d'être entendu garanti notamment par les art. 29 al. 2 de la Constitution fédérale de la Confédération suisse du 18 avril 1999 (Cst.; RS 101) et 17 al. 2 de la Constitution du canton de Vaud du 14 avril 2003 (Cst.-VD; RSV 101.01) implique notamment pour l'autorité l'obligation de motiver sa décision (voir ég.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b) En l'occurrence, la question de savoir si l'autorité intimée a satisfait à ces exigences en rendant la décision attaquée peut demeurer indécise. En effet, à supposer que tel n'ait pas été le cas, cette violation aurait été guérie dans la procédure devant la Cour de céans, qui dispose d'un plein pouvoir d'examen, procédure durant laquelle le recourant a eu tout loisir de s'exprimer et de faire valoir ses moyens. Le recours est par conséquent mal fondé sur ce point.</w:t>
      </w:r>
    </w:p>
    <w:p>
      <w:r>
        <w:rPr>
          <w:b/>
        </w:rPr>
        <w:t>E. 3</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1C_274/2010 du 7 octobre 2010 consid. 2.1; ATF 123 II 97 consid. 3c/aa p. 104).</w:t>
      </w:r>
    </w:p>
    <w:p>
      <w:r>
        <w:rPr>
          <w:b/>
        </w:rPr>
        <w:t>E. 4</w:t>
      </w:r>
    </w:p>
    <w:p>
      <w:r>
        <w:t>a) En l'espèce, le recourant admet qu'il n'a pas respecté une distance suffisante par rapport au véhicule le précédant. Il conteste toutefois la distance évaluée par les gendarmes à 5 mètres, pour une vitesse d'environ 80 km/h. Le recourant relève que la distance de 5 mètres retenue résulte d'une estimation effectuée par les gendarmes, et non du calcul effectué par un appareil de mesure de la distance entre véhicules, de sorte que les gendarmes ne pouvaient pas mesurer précisément celle-ci. L'ordonnance pénale du 26 février 2016 retient uniquement que le recourant a circulé au volant de son véhicule sans respecter une distance suffisante pour circuler en file. Elle ne précise pas la distance qui séparait le recourant du véhicule qui le précédait  ni ne se réfère au rapport de police (cf. a contrario arrêt CDAP CR.2011.0003 du 28 avril 2011 consid. 1b où l'ordonnance pénale renvoyait à la dénonciation). Par ailleurs, l'ordonnance pénale a été rendue à l'issue d'une procédure sommaire, sans que le recourant ait eu la faculté de s'exprimer. Or, on ne peut reprocher au recourant, sous l'angle de la bonne foi, de ne pas avoir invoqué ses moyens dans le cadre de la procédure pénale, par la voie de l'opposition (v. dans ce sens CR.2013.0070 du 18 novembre 2013; CR.2011.0003 du 28 avril 2011 consid. 1b; cf. également, a contrario, CR.2012.0071 du 15 mars 2013 consid. 1b où le conducteur avait été averti d'une possible mesure de retrait de son permis de conduire avant que l'ordonnance pénale ne soit rendue). D'une part en effet, au vu des constatations de fait limitées figurant dans l'ordonnance pénale, de l'infraction retenue (violation simple des règles de la circulation routière) et de la condamnation prononcée (amende de 200 fr.), le recourant ne pouvait déduire de cette seule ordonnance qu'il ferait l'objet d'une procédure de retrait de permis de conduire pour infraction grave. Rien n'indique même qu'il ait eu connaissance du rapport de police. D'autre part, on ignore à quelle date le recourant a reçu le courrier du SAN du 5 avril 2016, l'avisant qu'une interdiction de conduire était envisagée. Il est vrai en outre que la vitesse d'environ 80 km/h, l'intervalle de 5 mètres et la distance d'à peu près 1'000 mètres sur laquelle le recourant a circulé n'ont pas été mesurés par un appareil, mais estimés par les gendarmes, comme c'est généralement le cas dans ce genre de situation. A cet égard, le recourant fait valoir que les gendarmes ayant procédé à cette estimation depuis leur position derrière son propre véhicule, ils n'ont pas été en mesure de correctement estimer la distance le séparant du véhicule le précédant. Si l'on ignore précisément comment était positionné le véhicule de police lorsque les agents ont procédé à leurs constatations, il n'est toutefois pas impossible d'évaluer la distance entre deux véhicules en les suivant soi-même à une distance suffisante, légèrement décalé par rapport à leur axe de marche, ou en roulant sur une autre voie de circulation. En l'occurrence, le rapport de police relève qu'au moment des faits, le ciel était couvert, la chaussée sèche et le trafic de forte densité; ces conditions n’étaient pas de nature à gêner ou empêcher de procéder à une telle évaluation. Par ailleurs, la visibilité était encore améliorée par le fait que le recourant, au volant d'une voiture de tourisme, suivait un poids-lourd. S'agissant d'une évaluation qui émane de policiers dûment formés et habitués à exercer le contrôle de la circulation, le tribunal n'a donc aucune raison de s'écarter des chiffres constatés par la police cantonale, d'autant moins que le recourant n'avance aucun élément sérieux permettant de mettre en doute ces constatations (voir également CDAP CR.2014.0041 du 25 août 2014; CR.2013.0029 du 13 novembre 2013 où l'estimation de la distance entre les véhicules a été effectuée par les gendarmes en se plaçant de côté à hauteur du véhicule, en l'occurrence un camion dont le gabarit aurait empêché d'estimer autrement la distance; CR.2012.0071 du 15 mars 2013). Ces motifs justifient de s'écarter de la solution retenue dans l'arrêt CDAP CR.2013.0070 du 18 novembre 2013; dans cette affaire en effet, les agents de police se trouvaient derrière le véhicule du recourant, qui conduisait un camping-car dont les dimensions étaient relativement importantes, alors que la nuit était déjà tombée. Ces éléments permettaient de remettre en cause les mesures de distance et de vitesse opérées par les gendarmes. Tel n'est pas le cas en l'occurrence; les agents se trouvaient en effet dans une position leur offrant une bonne visibilité du véhicule conduit par le recourant. Il n'y a ainsi aucune raison de s'écarter des constatations de fait qui ressortent du rapport de police. Le tribunal retiendra dès lors que le recourant a circulé à environ 80 km/h en observant une distance d'à peu près 5 mètres du véhicule qui le précédait sur 1'000 mètres environ. b) Le recourant fait également valoir que le préfet n'a pas considéré qu'il avait commis une faute grave, puisqu'il l'a condamné à une violation simple des règles de la circulation routière selon l'art. 90 al. 1 LCR. C'est cependant le lieu de rappeler que le Tribunal fédéral a indiqué à plusieurs reprises que si les faits retenus au pénal lient en principe l'autorité et le juge administratifs, il en va différemment des questions de droit, en particulier de l'appréciation de la faute et de la mise en danger (TF 1C_280/2012 du 28 juin 2013 consid. 2.1; 1C_502/2011 du 6 mars 2012 consid. 2.1; 1C_353/2010 du 12 janvier 2011 consid. 2.1 et les références; 1C_274/2010 du 7 octobre 2010 consid. 2.1). Reste à examiner si, sur la base des éléments en sa possession, l'autorité intimée était légitimée à considérer comme grave l'infraction commise par le recourant.</w:t>
      </w:r>
    </w:p>
    <w:p>
      <w:r>
        <w:rPr>
          <w:b/>
        </w:rPr>
        <w:t>E. 5</w:t>
      </w:r>
    </w:p>
    <w:p>
      <w:r>
        <w:t>a) La LCR distingue les infractions légères, moyennement graves et graves (art. 16a - 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136 II 447 consid. 3.2).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147 consid. 3.2 ; 135 II 138 consid. 2.2.2; TF 6A.16/2006 du 6 avril 2006 consid. 2.1.1, in JdT 2006 I 442). L'infraction grave au sens de l'art. 16c al. 1 let. a LCR est ainsi subordonnée à la double gravité de la faute commise et de la mise en danger objective (Cédric Mizel, Les nouvelles dispositions légales sur le retrait du permis de conduire, in RDAF 2004 I 361 et ss, not. 395). b)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CDAP CR.2014.0041 du 25 août 2014 consid. 3b; CR.2011.0070 du 23 avril 2012 consid. 4c; CR.2011.0062 du 9 février 2012 consid. 2b)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pp. 366-377). - La mise en danger (abstraite accrue) grave ou la mise en danger abstraite accrue selon la dénomination du Tribunal fédéral, qui a pour critères déterminants l’imminence du danger et l’intensité du risque; elle correspond à une situation dangereuse très proche de l’accid e nt du fait du comportement d’un conducteur en raison des circonstances particulières concrètes, telles que la densité du trafic, la visibilité, les conditions atmosphériques, la configuration des lieux, etc. (Mizel, op. cit., pp. 367 ss). - La mise en danger concrète qui représente pour sa part un risque élevé de blessures pour une personne concrète. Elle consiste généralement en une collision avec un autre véhicule (Mizel, op. cit., pp. 369 et 371). Dès lors, pour qu'une infraction à la LCR soit considérée comme grave, la mise en danger doit avoir atteint le stade de "mise en danger abstraite accrue" ou de "mise en danger concrète" (Mizel, op. cit., p. 395). c) L'art. 34 al. 4 LCR prévoit que le conducteur doit observer une distance suffisante notamment lorsque des véhicules se suivent. Cette disposition est concrétisée à l' art. 12 al. 1 OCR ,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consid. 3; Philippe Weissenberger, Kommentar zum Strassenverkehrsgesetz, n. 51 ss ad art. 34 LCR). Ce qu'il faut entendre par "distance suffisante"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 à respecter au-delà desquelles il y aurait infraction, simple, moyennement grave ou grave, à la LCR. La règle des deux secondes ou du "demi compteur" (correspondant à un intervalle de 1,8 seconde) sont des standards minima habituellement reconnus (ATF 131 IV 133 consid. 3.1). Prenant en compte la pratique allemande et la doctrine, la jurisprudence du Tribunal fédéral a considéré que le cas peut être grave lorsque l'intervalle entre les véhicules est inférieur à 0,8 voire 0,6 seconde ( ATF 131 IV 133 consid. 3.2.2).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JdT 2005 I 466; cf. aussi TF 6B_281/2013 du 16 juillet 2013 consid. 2.2 ; 1C_356/2009 du 12 février 2010; 1C_7/2010 du 11 mai 2010; 1C_274/210 du 7 octobre 2010), lorsque, à une vitesse de 110 km/h, il a suivi la voiture précédente sur 1'200 mètres à une distance oscillant entre 5 et 10 mètres (0,32 seconde [TF 1C_502/2011 du 6 mars 2012]) ou encore lorsqu'il a circulé à une vitesse de 125 km/h, à nouveau sur 1'200 mètres, à une distance de 15 mètres du véhicule qui le précédait (0,4 seconde [TF 1C_446/2011 du 15 mars 2012]). Le Tribunal fédéral a également confirmé la qualification de faute grave lorsqu'un automobiliste a suivi, à une vitesse de 112 km/h et sur 497 mètres, un véhicule à une distance de 14,58 mètres, le temps de parcours entre les deux voitures étant alors de 0,47 seconde (TF 1C_554/2013 du 17 septembre 2013). Le Tribunal fédéral a également retenu une violation grave de la circulation en cas de distance supérieure à 0,6 seconde, lorsque les conditions de la route et de visibilité n'étaient pas favorables (TF 6B_700/2010 du 16 novembre 2010; cf. aussi Weissenberger, op. cit., n° 54 ad art. 34 LCR). En revanche, la faute a été qualifiée de moyennement grave au sens de l'art. 16b LCR lorsqu'un conducteur a suivi, à une vitesse de 100 km/h, une voiture à une distance entre 20 et 25 mètres (0,9 seconde [TF 1C_424/2012 du 15 janvier 2013]) et lorsque l'écart entre les véhicules était de 26 mètres pour une vitesse de 124 km/h (0,8 seconde [TF 1C_183/2013 du 21 juin 2013]).</w:t>
      </w:r>
    </w:p>
    <w:p>
      <w:r>
        <w:rPr>
          <w:b/>
        </w:rPr>
        <w:t>E. 6</w:t>
      </w:r>
    </w:p>
    <w:p>
      <w:r>
        <w:t>a) Dans le cas particulier, la vitesse retenue de 80 km/h équivaut à 22,22 m/s. Le rapport de police retient que le recourant a suivi le véhicule le précédant à une distance d'environ 5 mètres. A 22,22 m/s, 5 mètres sont parcourus en 0,23 seconde. La distance entre le recourant et le véhicule qui le précédait était donc nettement insuffisante au regard de l'art. 12 al. 1 OCR et de la jurisprudence y relative (cf. supra consid. 5c). Laisser une distance aussi faible à 80 km/h, sur une distance d’environ 1'000 mètres, crée un danger abstrait accru et constitue, objectivement, une violation grave des règles de la circulation. Une distance de 5 mètres à une vitesse de 80 km/h n'est pas suffisante pour garantir l'absence de collision avec l'arrière du véhicule précédent en cas de brusque changement des circonstances; cela vaut en particulier si un freinage d'urgence s'impose. Le recourant a d'ailleurs reconnu qu'il n'avait pas maintenu avec le véhicule le précédant une distance suffisante. b) Selon l'art. 16c al. 2 LCR, après une infraction grave, le permis de conduire est retiré pour trois mois au minimum. Dans les cas d'application de l'art. 16c LCR, il n'est pas possible, même dans des circonstances particulières, de retirer le permis de conduire pour une durée inférieure aux durées minimales prévues par cette disposition (ATF 135 II 334 consid. 2.2 p. 336; 132 II 234 consid. 2.3 p. 236s.).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(CDAP CR.2009.0022 du 27 novembre 2009 consid. 2b; CR.2009.0025 du 6 janvier 2010 consid. 2). En l’occurrence, l'autorité intimée a prononcé à l’encontre du recourant un retrait de permis de conduire d'une durée correspondant au minimum légal prévu par le législateur, soit trois mois. L’utilité professionnelle et l'absence d'antécédents invoqués par le recourant n’ont dès lors pas à être examinés, puisqu'il n'est de toute façon pas possible de réduire la durée de la mesure prononcée à son encontre.</w:t>
      </w:r>
    </w:p>
    <w:p>
      <w:r>
        <w:rPr>
          <w:b/>
        </w:rPr>
        <w:t>E. 7</w:t>
      </w:r>
    </w:p>
    <w:p>
      <w:r>
        <w:t>Il résulte des considérants qui précèdent que le recours doit être rejeté et la décision attaquée confirmée. Le SAN est invité à fixer une nouvelle date d’exécution de la mesure. Le recourant, qui succombe, supportera les frais de justice (art. 49 al. 1 et 91 de la loi du 28 octobre 2008 sur la procédure administrative [LPA-VD; RSV 173.36]).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