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CR.2016.0048 vom 30. August 2016</w:t>
      </w:r>
    </w:p>
    <w:p>
      <w:r>
        <w:t>VD Tribunal cantonal, 2016-08-30, FR</w:t>
      </w:r>
    </w:p>
    <w:p>
      <w:r>
        <w:rPr>
          <w:b/>
        </w:rPr>
        <w:t xml:space="preserve">Quelle: </w:t>
      </w:r>
      <w:r>
        <w:t>https://mcp.opencaselaw.ch/entscheid/vd_omni_CR.2016.0048</w:t>
      </w:r>
    </w:p>
    <w:p>
      <w:r>
        <w:t>FR: VD_OMNI CR.2016.0048 du 30 août 2016</w:t>
      </w:r>
    </w:p>
    <w:p>
      <w:r>
        <w:t>IT: VD_OMNI CR.2016.0048 del 30 agosto 2016</w:t>
      </w:r>
    </w:p>
    <w:p>
      <w:pPr>
        <w:pStyle w:val="Heading2"/>
      </w:pPr>
      <w:r>
        <w:t>Regeste</w:t>
      </w:r>
    </w:p>
    <w:p>
      <w:r>
        <w:t>A.________ /Service des automobiles et de la navigation | Retrait préventif confirmé: le recourant n'a pas respecté l'abstinence stricte de consommation d'alcool que lui imposait une décision d'aptitude rendue seulement deux mois auparavant après un premier retrait préventif et une expertise de l'UMPT; cet écart laisse suspecter un problème d'alcool plus sérieux que celui mis en évidence par les experts et une éventuelle dépendance; des doutes suffisants quant à l'aptitude à la conduite de l'intéressé existent par conséquent et justifient un retrait préventif et la mise en oeuvre d'une nouvelle expertise de l'UMPT.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14 LCR,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et qu'il ne souffre d'aucune dépendance qui l'empêche de conduire un véhicule automobile en toute sécurité (al. 2 let. b et c). b) D'après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TF 1C_768/2013 du 10 mars 2014 consid. 3.1 et réf.). c) En l'espèce, le recourant a fait l'objet d'un premier retrait préventif en janvier 2015 à la suite d'une perte de maîtrise en état d'ébriété. Dans leur rapport du 9 décembre 2015, les experts de l'UMPT n'ont pas retenu de dépendance à l'alcool, en raison notamment du changement de comportement de l'intéressé au cours des derniers mois. Ils ont relevé que, si le pronostic à court et moyen termes semblait a priori favorable, le pronostic à long terme était néanmoins difficile à établir et dépendrait d'une consolidation des modifications d'habitudes du recourant qui devraient s'inscrire dans la durée. Ils ont préconisé pour ces raisons que le maintien du droit de conduire soit subordonné à une abstinence stricte de consommation d'alcool pendant une période de dix-huit mois au minimum, ainsi qu'à un suivi auprès de l'USE pendant la même période. Moyennant le respect de ces conditions, ils considéraient le recourant comme apte à la conduite. L'autorité intimée a suivi ces recommandations. Elle a ainsi repris, dans sa décision d'aptitude du 9 février 2016, les conditions que les experts préconisaient, en particulier une abstinence stricte de consommation d'alcool. Cette décision, qui est entrée en force faute d'avoir été contestée en temps utile, ne peut pas être remise en cause dans le cadre de la présente procédure. Il ressort des pièces du dossier, notamment du rapport de police du 27 avril 2016 et du rapport d'analyse du 29 avril 2016, que le recourant n'a pas respecté l'abstinence stricte de consommation d'alcool que la décision d'aptitude du 9 février 2016 lui imposait. Le fait qu'il n'aurait bu qu'après l'incident 2016, ce qui paraît vraisemblable, n'est pas déterminant. Cet écart, commis deux mois seulement après la restitution de son permis de conduire, est inquiétant et laisse suspecter un problème d'alcool plus sérieux qui celui mis en évidence dans le rapport de l'UMPT du 9 décembre 2015 et une éventuelle dépendance. Des doutes suffisants quant à l'aptitude à la conduite du recourant existent par conséquent. Ils justifient le retrait à titre préventif du permis de conduire de l'intéressé et la mise en oeuvre d'une nouvelle expertise auprès de l'UMPT. En confirmant le retrait préventif prononcé, l'autorité intimée n'a ainsi pas violé le droit, ni abusé de son pouvoir d'appréciation.</w:t>
      </w:r>
    </w:p>
    <w:p>
      <w:r>
        <w:rPr>
          <w:b/>
        </w:rPr>
        <w:t>E. 3</w:t>
      </w:r>
    </w:p>
    <w:p>
      <w:r>
        <w:t>Les considérants qui précèdent conduisent au rejet du recours et à la confirmation de la décision attaquée. Il est renoncé à percevoir des frais de justice (art. 50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