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CR.2016.0022 vom 14. Juni 2016</w:t>
      </w:r>
    </w:p>
    <w:p>
      <w:r>
        <w:t>VD Tribunal cantonal, 2016-06-14, FR</w:t>
      </w:r>
    </w:p>
    <w:p>
      <w:r>
        <w:rPr>
          <w:b/>
        </w:rPr>
        <w:t xml:space="preserve">Quelle: </w:t>
      </w:r>
      <w:r>
        <w:t>https://mcp.opencaselaw.ch/entscheid/vd_omni_CR.2016.0022</w:t>
      </w:r>
    </w:p>
    <w:p>
      <w:r>
        <w:t>FR: VD_OMNI CR.2016.0022 du 14 juin 2016</w:t>
      </w:r>
    </w:p>
    <w:p>
      <w:r>
        <w:t>IT: VD_OMNI CR.2016.0022 del 14 giugno 2016</w:t>
      </w:r>
    </w:p>
    <w:p>
      <w:pPr>
        <w:pStyle w:val="Heading2"/>
      </w:pPr>
      <w:r>
        <w:t>Regeste</w:t>
      </w:r>
    </w:p>
    <w:p>
      <w:r>
        <w:t>X________/Service des automobiles et de la navigation | Cas du conducteur qui a consommé de l'alcool en cours d'après-midi, puis est rentré chez lui à 17h45 en provoquant des dégâts aux panneaux de circulation routière, avant de boire une demi-bouteille de whisky à son domicile, entre 17h54 et 18h09, heure à laquelle une patrouille de la police s'est présentée chez lui. Selon la prise de sang effectuée à 18h40, le taux d'alcool oscillait entre 0,11 et 1,23 g/kg à 17h45, et entre 1,98 et 2,59 g/kg à 18h40. Le SAN a ordonné un retrait de sécurité (préventif) du permis de conduire, en application de l'art. 16d al. 1 let. b LCR. Admission du recours sur ce point, compte tenu de la prise d'alcool en deux temps par le conducteur, avant et après avoir conduit son véhicule. Le seul fait d'avoir bu à son domicile une demi-bouteille d'alcool pur en quinze minutes ne suffit pas, en soi et en l'absence d'autres éléments (par exemple, une expertise médicale), pour conclure à l'existence d'une dépendance à l'alcool. Renvoi de la cause au SAN pour qu'il examine si, sur le vu du taux d'alcool constaté à 17h45, un retrait d'admonestation entre en ligne de compte.</w:t>
      </w:r>
    </w:p>
    <w:p>
      <w:pPr>
        <w:pStyle w:val="Heading2"/>
      </w:pPr>
      <w:r>
        <w:t>Erwägungen</w:t>
      </w:r>
    </w:p>
    <w:p>
      <w:r>
        <w:rPr>
          <w:b/>
        </w:rPr>
        <w:t>E. 1</w:t>
      </w:r>
    </w:p>
    <w:p>
      <w:r>
        <w:t>Le litige porte sur le retrait préventif du permis de conduire prononcé à l'encontre du recourant, compte tenu d'une suspicion d'inaptitude à la conduite liée à une dépendance à l'alcool.</w:t>
      </w:r>
    </w:p>
    <w:p>
      <w:r>
        <w:rPr>
          <w:b/>
        </w:rPr>
        <w:t>E. 2</w:t>
      </w:r>
    </w:p>
    <w:p>
      <w:r>
        <w:t>a) Selon l'art. 14 LCR, tout conducteur de véhicule automobile doit posséder l'aptitude et les qualifications nécessaires à la conduite (al. 1). Est en particulier apte à la conduite celui qui ne souffre d'aucune dépendance qui l'empêche de conduire un véhicule automobile en toute sécurité (al. 2 let. c). L'art. 16d al. 1 let. b LCR prévoit que le permis de conduire est retiré pour une durée indéterminée à la personne qui souffre d'une forme de dépendance la rendant inapte à la conduite. Le retrait de sécurité porte une atteinte grave à la personnalité de l'automobiliste touché. C'est pourquoi l'autorité compétente doit, avant d'ordonner 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dépend en principe de l'appréciation de l'autorité de retrait ( ATF 139 II 95 consid. 3.4.1 p. 103; 129 II 82 consid. 2.2 p. 84 s. et les références). Le pronostic doit être posé sur la base des antécédents du conducteur et de sa situation personnelle (ATF 139 II 95 consid. 3.4 p. 103; 125 II 492 consid. 2a p. 495). En cas de doute, il y a lieu d’ordonner un examen psychologique ou psychiatrique (art. 11b al. 1 let. b OAC; ATF 139 II 95 consid. 3.4.1 p. 103). Aux termes de l'art. 30 de l'ordonnance fédérale du 27 octobre 1976 réglant l'admission des personnes et des véhicules à la circulation routière (OAC; RS 741.51),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Si une telle preuve était apportée, c'est en effet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ATF 122 II 359 consid. 3a; TF 1C_768/2013 du 10 mars 2014 consid. 3.1 et les références). Cela étant, comme l'intéressé ne peut pas être privé durablement de son permis de conduire si la preuve de son inaptitude n'est pas faite (cf. notamment art. 16d LCR a contrario), une telle mesure doit s'inscrire dans une procédure de retrait de sécurité; l'expertise ordonnée dans le cadre de cette procédure doit être exécutée dans les meilleurs délais, afin que le permis puisse être restitué au plus vite à son titulaire s'il n'y a pas lieu de prononcer un retrait de sécurité (cf. TF 1C_420/2007 du 18 mars 2008 consid. 3.2 et la référence; cf., en dernier lieu arrêt CR.2015.0079 du 14 avril 2016, consid. 2, et les arrêts cités). b) L'existence d'une dépendance à l'alcool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c et 16d al. 1 let. b LCR ne recoupe donc pas la notion médicale de dépendance à l'alcool. La notion juridique permet déjà d'écarter du trafic des personnes qui, par une consommation abusive d'alcool, se mettent concrètement en danger de devenir dépendantes au sens médical (cf. ATF 129 II 82 consid. 4.1; TF 6A.23/2006 du 12 mai 2006 consid. 2.1 et les références). c) Lorsqu'il existe des indices d'inaptitude suffisants pour justifier l'ouverture d'une procédure portant sur un éventuel retrait de sécurité, les conditions d'un retrait préventif sont par là même remplies. Il en résulte que, dès l'ouverture d'une telle procédure, le permis de conduire doit en principe être retiré à l'intéressé, à titre préventif, quitte à ce que l'autorité rapporte ensuite cette mesure s'il s'avère, après expertise, qu'elle n'était pas justifiée (ATF 125 II 396 consid. 3). C'est donc sur la base d'une appréciation sommaire - mais aussi complète que possible - que l'autorité doit déterminer, en tenant compte de tous les éléments aisément disponibles, si les conditions auxquelles le prononcé d'un retrait préventif du permis de conduire est subordonné sont remplies. Il se peut alors que les faits ne soient pas encore établis avec certitude. L'autorité peut ainsi se contenter de faits dont la constatation ne franchit encore que le seuil d'une vraisemblance suffisante. De même, le tribunal, s'il est saisi d'un recours, ne cherchera en principe pas à compléter l'instruction, à moins qu'il ne paraisse possible de recueillir facilement et rapidement des éléments, qui permettraient d'emblée de lever les doutes invoqués dans la décision attaquée ou au contraire de les conforter. En principe donc, le tribunal examinera seulement si l'autorité intimée a correctement apprécié, sur la base des éléments figurant au dossier, l'existence et surtout l'importance des craintes que suscite le conducteur et l'urgence qu'il y a de l'écarter immédiatement de la circulation (arrêts CR.2013.0079 du 25 novembre 2013, consid. 1b; CR.2003.0171 du 6 octobre 2003). d) Un examen de l'aptitude à conduire doit être ordonné lorsqu'un conducteur circulant en étant pris de boisson présente un taux d’alcool dans le sang de 2,5 g/kg ou plus, indépendamment des autres circonstances, soit même si, en particulier, il n'a pas commis d'infraction de cette nature dans les cinq ans qui précèdent. En effet, les personnes qui se trouvent encore au volant avec un taux aussi élevé disposent d'une tolérance à l'alcool très importante qui indique en général une dépendance à cette substance ( ATF 129 II 82 consid. 4.2 p. 87; 127 II 122 consid. 3c p. 125; 126 II 185 consid. 2e p. 191; cf. également arrêt CR.2013.0079, précité). En revanche, un retrait préventif et une expertise médicale sont injustifiés lorsque l'intéressé n'a pas conduit, qu'il s'est seulement montré excité après avoir consommé de l'alcool, et qu'il n'existe pas d'indices qu'il consommerait régulièrement de l'alcool de manière si importante qu'il y aurait lieu de craindre une incapacité à dissocier alcool et conduite (ATF 1C_356/2011 du 17 janvier 2012 consid. 4; ATF 1C_256/2011 du 22 septembre 2011 consid. 2; arrêt CR.2013.0079, précité, consid. 2). e) L’accident litigieux est survenu le 18 décembre 2015 entre 17h45 et 17h54; à ce moment-là, le recourant était sous l’emprise de l’alcool, comme le montre le rapport de l’ICC du 9 mars 2016, pour un taux variant entre 0,11 et 1,23 g/kg. De ce rapport, il ressort également que le recourant a ingéré une grande quantité d’alcool pur dans un délai très bref, après avoir regagné son domicile, soit entre 17h54 et 18h09, moment où les agents de la Police Riviera ont sonné à sa porte. Le SAN se fonde sur ces deux circonstances, ainsi que sur les retraits d’admonestation ordonnés en 2011 et 2012 pour ébriété, pour conclure que le recourant se trouverait dans un cas d’application de l’art. 16d al. 1 let. b LCR. Cette appréciation ne peut être partagée. Le recourant ne se trouve pas dans le cas exceptionnel où la dépendance à l’alcool, au sens de l’art. 16d al. 1 let. b LCR, est manifeste. Ses antécédents, établis, remontent à 2011 et 2012, soit quatre et trois ans avant l’accident du 18 décembre 2015. Il n’existe aucun autre élément permettant de penser que le recourant s’adonnerait de manière régulière à la boisson dans des quantités dénotant une dépendance dont le recourant n’arriverait pas à se défaire. Le seul fait de boire une demi-bouteille de whisky dans un laps de quinze minutes, impressionnant en soi comme l’a reconnu le recourant lui-même, ne suffit pas à démontrer le soupçon d’une telle dépendance; il faudrait pour cela d’autres éléments fondés sur des circonstances précises et vérifiables. f) En l’état, les conditions d’un retrait de sécurité au sens de l’art. 16d al. 1 let. b LCR ne sont pas réunies. Le recours doit être admis sur ce point. La première conclusion au fond prise par le recourant à l’appui du recours doit lui être adjugée. En revanche, sur le vu du taux d’alcool retenu au moment critique de 17h45, selon le rapport de l’ICC du 9 mars 2016, il n’est pas exclu qu’un retrait d’admonestation puisse être ordonné, dont la durée pourrait dépendre de la prise en compte des retraits prononcés en 2011 et 2012 (cf. art. 16a à 16c LCR). La cause doit être renvoyée au SAN pour nouvelle décision sur ce point. Dans ce sens, la deuxième conclusion au fond prise par le recourant à l’appui du recours est rejetée. Le recours doit ainsi être admis partiellement. La décision attaquée doit être annulée, y compris pour ce qui concerne le retrait de l’effet suspensif au recours. Le permis de conduire sera restitué au recourant jusqu’à nouvelle décision du SAN. La demande de restitution de l’effet suspensif a perdu son objet.</w:t>
      </w:r>
    </w:p>
    <w:p>
      <w:r>
        <w:rPr>
          <w:b/>
        </w:rPr>
        <w:t>E. 3</w:t>
      </w:r>
    </w:p>
    <w:p>
      <w:r>
        <w:t>Le recours étant admis partiellement, le montant des frais mis à la charge du recourant (cf. art. 49 de la loi du 28 octobre 2008 sur la procédure administrative – LPA-VD, RSV 173.36) sera réduit; il en ira de même des dépens auxquels le recourant a droit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