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CR.2016.0008 vom 7. Juni 2016</w:t>
      </w:r>
    </w:p>
    <w:p>
      <w:r>
        <w:t>VD Tribunal cantonal, 2016-06-07, FR</w:t>
      </w:r>
    </w:p>
    <w:p>
      <w:r>
        <w:rPr>
          <w:b/>
        </w:rPr>
        <w:t xml:space="preserve">Quelle: </w:t>
      </w:r>
      <w:r>
        <w:t>https://mcp.opencaselaw.ch/entscheid/vd_omni_CR.2016.0008</w:t>
      </w:r>
    </w:p>
    <w:p>
      <w:r>
        <w:t>FR: VD_OMNI CR.2016.0008 du 7 juin 2016</w:t>
      </w:r>
    </w:p>
    <w:p>
      <w:r>
        <w:t>IT: VD_OMNI CR.2016.0008 del 7 giugno 2016</w:t>
      </w:r>
    </w:p>
    <w:p>
      <w:pPr>
        <w:pStyle w:val="Heading2"/>
      </w:pPr>
      <w:r>
        <w:t>Regeste</w:t>
      </w:r>
    </w:p>
    <w:p>
      <w:r>
        <w:t>A. X.________/Service des automobiles et de la navigation | Confirmation d'un retrait de permis d'une durée de trois mois pour excès de vitesse de 37 km/h hors localité. En ce qui concerne les éléments constitutifs de l'infraction, les autorités administratives n'ont pas de raison de s'écarter des constatations de fait des autorités pénales. Selon la jurisprudence, il s'agit en outre d'une infraction grave.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conteste avoir été au volant du véhicule automobile appartenant à la société Y.________ SA, dont il est l'administrateur, lors de l'infraction. Il expose qu’il n’est pas possible d’affirmer sur la base de la photographie prise le jour de l’infraction qu’il est bien l’auteur de l’excès de vitesse litigieux, étant donné que trois autres personnes de la société sont autorisées à conduire le véhicule incriminé. Il soutient dès lors qu'il doit pouvoir bénéficier de la présomption d’innocence, faute de preuves suffisantes.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du code pénal suisse du 21 décembre 1937 [CP; RS 311.0]), tandis que les autorités administratives compétentes décident de mesures administratives (avertissement ou retrait de permis) prévues par les art. 16 ss LCR (ATF 139 II 95 consid. 3.2;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Si les faits retenus au pénal lient donc en principe l'autorité et le juge administratifs, il en va différemment des questions de droit, en particulier de l'appréciation de la faute et de la mise en danger (TF 1C_181/2014 du 8 octobre 2014 consid. 2.2 et les références; TF 1C_495/2013 du 7 janvier 2014 consid. 6.1 et les références). b) En l'espèce, l'autorité intimée ne s'est pas écartée des faits constatés par le juge pénal; ce dernier ayant retenu que le recourant avait commis un excès de vitesse de 37 km/h hors localité. Le recourant a certes contesté l'ordonnance pénale rendue par le Ministère public de l'arrondissement de Lausanne auprès du Tribunal de police de l'arrondissement de Lausanne, il n'a cependant pas contesté le jugement rendu le 12 octobre 2015 par cette autorité, qui a estimé que l'opposition formulée par le recourant devait être considérée comme retirée, celui-ci ne s'étant pas présenté à l'audience du 12 octobre 2015. Si le recourant entendait contester les faits tels qu’établis par le Ministère public, il lui appartenait de faire valoir ses moyens dans le cadre de la procédure pénale sous peine d’être forclos à s’en prévaloir par la suite, conformément à la jurisprudence précitée. C'est dans ce cadre uniquement qu'il pouvait remettre en cause en particulier les constatations résultant du rapport de la Police cantonale, sur lequel s’est basé le Ministère public. Les conditions permettant à l'autorité administrative de s'écarter de l'appréciation de l'autorité pénale ne sont dès lors pas réunies. Si le recourant n'était effectivement pas l'auteur de l'infraction, il aurait maintenu son opposition à l'ordonnance pénale et aurait demandé que cette question soit jugée par le Tribunal de police. Le tribunal est donc lié par le constat de l'ordonnance pénale du 18 février 2015, selon lequel le recourant est l'auteur de l'infraction constatée par radar le 16 août 2014. Par conséquent, l'autorité intimée n'a pas violé le droit fédéral en se considérant comme étant liée par l'état de fait à la base du jugement pénal. La cour de céans n’a ainsi pas de raison de s'écarter des faits sur lesquels l’autorité intimée s'est fondée pour rendre sa décision. Le grief du recourant doit dès lors être rejeté.</w:t>
      </w:r>
    </w:p>
    <w:p>
      <w:r>
        <w:rPr>
          <w:b/>
        </w:rPr>
        <w:t>E. 3</w:t>
      </w:r>
    </w:p>
    <w:p>
      <w:r>
        <w:t>Le recourant conteste que l'excès de vitesse litigieux soit une infraction grave au sens de la LCR. a) Aux termes de l'art. 16 al. 2 LCR, lorsque la procédure prévue par la loi fédérale du 24 juin 1970 sur les amendes d’ordre (LAO; RS 741.03) n’est pas applicable, une infraction aux prescriptions sur la circulation routière entraîne le retrait du permis d’élève-conducteur ou du permis de conduire ou un avertissement. Selon l'al. 3 de cette même disposition,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(cf. art. 16a LCR), les cas de gravité moyenne (cf. art. 16b LCR) et les cas graves (cf. art. 16c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ce dernier cas, le permis de conduire est retiré pour trois mois au minimum (cf. art. 16c al. 2 let. a LCR). c) Dans le domaine des excès de vitesse, la jurisprudence, afin d'assurer l'égalité de traitement, a été amenée à fixer des règles précises. Ainsi,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(cf. ATF 132 II 234 consid. 3; ATF 124 II 259 consid. 2b). Il est en revanche de moyenne gravité lorsque le dépassement de la vitesse autorisée est, respectivement, de 21 à 24 km/h (cf. ATF 126 II 196 consid. 2a), de 26 à 29 km/h et de 31 à 34 km/h (cf. ATF 128 II 131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126 II 196 consid. 2a; ATF 124 II 97 consid. 2c; TF 1C_708/2013 du 27 février 2014 consid. 3.2.2 ). L'autorité pourra également renoncer au retrait du permis de conduire en présence de circonstances analogues à celles qui justifient de renoncer à une peine en application de l'art. 54 CP ou encore des art. 17 ss CP (cf. notamment TF 1C_526/2009 du 25 mars 2010 consid. 3.1 et les références). d) En l'espèce, conformément à la jurisprudence précitée, un dépassement de la vitesse maximale de 37km/h hors localité doit être qualifié de grave au sens de l'art. 16c al. 1 let. a LCR et entraîner un retrait du permis de conduire d'au moins trois mois conformément à l'art. 16 al. 2 let. a LCR. La décision attaquée s'en tenant à cette durée minimale, le tribunal ne peut que la maintenir (art. 16 al. 3, 2 ème phrase, LCR).</w:t>
      </w:r>
    </w:p>
    <w:p>
      <w:r>
        <w:rPr>
          <w:b/>
        </w:rPr>
        <w:t>E. 4</w:t>
      </w:r>
    </w:p>
    <w:p>
      <w:r>
        <w:t>Les considérants qui précèdent conduisent au rejet du recours et au maintien de la décision attaquée. Le SAN fixera un nouveau délai au recourant pour le dépôt de son permis de conduire. Le recourant, qui succombe, supportera les frais de justice. Il n'aura par ailleurs pas droit à l'allocation de dépens (art. 55 al.1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