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CR.2015.0090 vom 26. April 2016</w:t>
      </w:r>
    </w:p>
    <w:p>
      <w:r>
        <w:t>VD Tribunal cantonal, 2016-04-26, FR</w:t>
      </w:r>
    </w:p>
    <w:p>
      <w:r>
        <w:rPr>
          <w:b/>
        </w:rPr>
        <w:t xml:space="preserve">Quelle: </w:t>
      </w:r>
      <w:r>
        <w:t>https://mcp.opencaselaw.ch/entscheid/vd_omni_CR.2015.0090</w:t>
      </w:r>
    </w:p>
    <w:p>
      <w:r>
        <w:t>FR: VD_OMNI CR.2015.0090 du 26 avril 2016</w:t>
      </w:r>
    </w:p>
    <w:p>
      <w:r>
        <w:t>IT: VD_OMNI CR.2015.0090 del 26 aprile 2016</w:t>
      </w:r>
    </w:p>
    <w:p>
      <w:pPr>
        <w:pStyle w:val="Heading2"/>
      </w:pPr>
      <w:r>
        <w:t>Regeste</w:t>
      </w:r>
    </w:p>
    <w:p>
      <w:r>
        <w:t>RA. X.________/Service des automobiles et de la navigation | Confirmation du retrait du permis de conduire pour une durée de quatre mois prononcé à l'encontre d'un conducteur d'autocar ayant fait preuve d'inattention à la circulation et étant passé d'une voie de circulation à l'autre sans égard pour une automobiliste qui circulait en dépassement sur la voie gauche de l'autoroute, provoquant la perte de maîtrise du véhicule qu'elle conduisait et l'accident qui a suivi. Au regard des circonstances, l'infraction doit être qualifiée de moyennement grave (consid. 3b). Compte tenu de ses antécédents, le recourant tombe sous le coup de l'art. 16b al. 2 let. b LCR (consid. 4).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en outre les conditions formelles énoncées à l'art. 79 LPA-VD, applicable par renvoi de l'art. 99 LPA-VD. Partant, le recours est recevable.</w:t>
      </w:r>
    </w:p>
    <w:p>
      <w:r>
        <w:rPr>
          <w:b/>
        </w:rPr>
        <w:t>E. 2</w:t>
      </w:r>
    </w:p>
    <w:p>
      <w:r>
        <w:t>a)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Cet article est complété par l'art. 10 al. 1 OCR, qui précise que le conducteur qui veut dépasser se déplacera prudemment sur la gauche sans gêner les véhicules qui suivent. L'art. 44 al. 1 LCR prévoit encore que, sur les routes marquées de plusieurs voies pour une même direction, le conducteur ne peut passer d'une voie à une autre que s'il n'en résulte pas de danger pour les autres usagers de la route. Il convient de citer en outre l'art.</w:t>
      </w:r>
    </w:p>
    <w:p>
      <w:r>
        <w:rPr>
          <w:b/>
        </w:rPr>
        <w:t>E. 3</w:t>
      </w:r>
    </w:p>
    <w:p>
      <w:r>
        <w:t>a) La loi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plus si le conducteur en cause présente des antécédents (art. 16b al. 2 let. b à f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plus, voire définitivement, si le conducteur en cause présente des antécédents ou a commis un délit de chauffard (art. 16c al. 2 let. a bis à e LCR).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TF 1C_87/2009 du 11 août 2009 consid. 3.1; ATF 136 II 447 consid. 3.2; 135 II 138 consid. 2.2.2; TF 6A.16/2006 du 6 avril 2006 consid. 2.1.1, in JT 2006 I 442). b) En l'espèce, l'autorité intimée a considéré que l'infraction commise par le recourant devait être qualifiée de moyennement grave, dès lors que la mise en danger créée par le comportement de l'intéressé devait être qualifiée de grave et que la faute pouvait être qualifiée de légère. aa) En lien avec l'examen de la gravité de la faute, il apparaît que l'autorité intimée a retenu l'appréciation la plus favorable au recourant, dès lors qu'on ne saurait admettre que l'intéressé n'aurait commis qu'une faute particulièrement légère, au regard du devoir de prudence qui lui incombait compte tenu des circonstances. En effet, il appartenait au recourant de s'assurer qu'il pouvait procéder à la manœuvre envisagée sans mettre en danger les autres usagers de la route. L'intéressé se trouvait aux commandes d'un autocar transportant des élèves, sur un tronçon d'autoroute comportant plusieurs voies permettant des changements de direction; il devait donc être particulièrement prudent et vouer toute son attention à la circulation. L'appréciation de l'autorité intimée peut dès lors être confirmée. bb)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(cf. Mizel, op. cit., pp. 364 ss). La mise en danger concrète représente un risque élevé de blessures pour une personne concrète; elle consiste généralement en une collision avec un autre véhicule (idem, pp. 369 et 371). Pour qu'une infraction à la LCR soit considérée comme grave, la mise en danger doit avoir atteint le stade de "mise en danger abstraite accrue" ou de "mise en danger concrète" (idem, p. 395). En l'occurrence, le comportement du recourant a mis concrètement en danger la sécurité d'autrui. En réaction à sa manœuvre de changement de voie, la conductrice du véhicule qui circulait en parallèle au sien, à une vitesse comprise entre 100 et 110 km/h, a serré au maximum à gauche, empiété sur la berme centrale et frotté la glissière de sécurité, ensuite de quoi son automobile a effectué un tête-à-queue en traversant les voies de circulation et a heurté de son côté gauche la glissière latérale de sécurité puis l'a longée sur une centaine de mètres . Les dégâts matériels occasionnés à ce véhicule ont été importants ( tout le côté gauche enfoncé et l'essieu arrière arraché ) et ont nécessité sa prise en charge par un dépanneur. Si la conductrice n'a heureusement subi aucune atteinte à son intégrité physique, il n'en demeure pas moins qu'elle a couru un risque élevé de blessures, les conséquences des accidents sur les autoroutes pouvant être particulièrement lourdes en raison de la vitesse élevée des usagers (ATF 102 IV 42 consid. 2 et les références citées). Dans ces conditions, la mise en danger créée par le comportement du recourant ne saurait être considérée autrement que comme grave. cc) Cela étant, c'est à juste titre que l'infraction commise a été qualifiée de moyennement grave par l'autorité intimée.</w:t>
      </w:r>
    </w:p>
    <w:p>
      <w:r>
        <w:rPr>
          <w:b/>
        </w:rPr>
        <w:t>E. 4</w:t>
      </w:r>
    </w:p>
    <w:p>
      <w:r>
        <w:t>a) Après une infraction moyennement grave, le permis de conduire est retiré pour quatre mois au minimum si, au cours des deux années précédentes, le permis a été retiré une fois en raison d'une infraction grave ou moyennement grave (art. 16b al. 2 let. b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16b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16b LCR (CR.2009.0022 du 27 novembre 2009 consid. 2b; CR.2009.0025 du 6 janvier 2010 consid. 2). b) En l'occurrence, en ayant commis une infraction moyennement grave moins de deux ans après avoir fait l'objet d'une mesure de retrait du permis de conduire pour une infraction grave, le recourant tombe sous le coup de l'art. 16b al. 2 let. b LCR. La décision attaquée s'en tenant à la durée correspondant au minimum légal prévu par le législateur, soit quatre mois, elle échappe à la critique. Il y a lieu de relever encore que, dès lors que le retrait du permis de conduire constitue une mesure administrative, un sursis comparable à celui qu'instaure l'art. 41 du Code pénal est légalement exclu (TF 6A.67/2005 du 24 février 2006 consid. 5.3).</w:t>
      </w:r>
    </w:p>
    <w:p>
      <w:r>
        <w:rPr>
          <w:b/>
        </w:rPr>
        <w:t>E. 5</w:t>
      </w:r>
    </w:p>
    <w:p>
      <w:r>
        <w:t>Les considérants qui précèdent conduisent au rejet du recours et à la confirmation de la décision attaquée. Le SAN fixera un nouveau délai au recourant pour le dépôt de son permis de conduire. Le recourant,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