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CR.2015.0083 vom 7. Januar 2016</w:t>
      </w:r>
    </w:p>
    <w:p>
      <w:r>
        <w:t>VD Tribunal cantonal, 2016-01-07, FR</w:t>
      </w:r>
    </w:p>
    <w:p>
      <w:r>
        <w:rPr>
          <w:b/>
        </w:rPr>
        <w:t xml:space="preserve">Quelle: </w:t>
      </w:r>
      <w:r>
        <w:t>https://mcp.opencaselaw.ch/entscheid/vd_omni_CR.2015.0083</w:t>
      </w:r>
    </w:p>
    <w:p>
      <w:r>
        <w:t>FR: VD_OMNI CR.2015.0083 du 7 janvier 2016</w:t>
      </w:r>
    </w:p>
    <w:p>
      <w:r>
        <w:t>IT: VD_OMNI CR.2015.0083 del 7 gennaio 2016</w:t>
      </w:r>
    </w:p>
    <w:p>
      <w:pPr>
        <w:pStyle w:val="Heading2"/>
      </w:pPr>
      <w:r>
        <w:t>Regeste</w:t>
      </w:r>
    </w:p>
    <w:p>
      <w:r>
        <w:t>A. X.________/Service des automobiles et de la navigation | Automobiliste qui, circulant sur l'autoroute, déboîte, devance un véhicule par la droite et regagne la voie de dépassement au terme de sa manoeuvre. Infraction grave au sens de l'art. 16c al. 1 let. LCR. Le recourant, qui a fait l'objet d'un retrait de durée indéterminée fondé sur l'art. 16c al. 2 let. d LCR au cours des 5 dernières années, se trouve en situation de récidive au sens de l'art. 16c al. 2 let. e LCR. Le SAN n'avait dès lors pas d'autre alternative que de prononcer un retrait définitif. Recours rejeté. Recours au TF rejeté (ATF 1C_72/2016 du 11 mai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CR.2014.0061 du 9 octobre 2014, CR.2012.0004 du 8 mars 2012 et CR.2010.0076 du 7 juin 2011, ainsi que les références citées). c) Aux termes de l'art. 35 al. 1 LCR, les dépassements se font par la gauche.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p. 194; 115 IV 244 consid. 2 et 3). 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manoeuvre et amenés à un freinage intempestif (ATF 126 IV 192 consid. 3 p. 196-197; TF 1C_280/2012 du 28 mai 2013 consid. 3.3 et 1C_93/2008 du 2 juillet 2008 consid. 2.3). d) Selon le rapport de la gendarmerie, dont le Tribunal de police ne s'est pas écarté, le recourant circulait sur l'autoroute A9 de Lausanne en direction de Vevey. Il se trouvait sur la voie de gauche derrière plusieurs véhicules. Profitant du fait qu'il n'y avait personne sur la voie de droite, il s'y est déporté et a devancé une fourgonnette ainsi qu'un autre véhicule. Au terme de sa manoeuvre, il a regagné la voie de dépassement. Le recourant a ainsi délibérément adopté un comportement dont le caractère dangereux ne pouvait pas lui échapper. Cette manoeuvre était d'autant plus dangereuse que les vitesses étaient élevées (plus de 80 km/h) et qu'il y avait du trafic, même s'il n'était pas particulièrement dense (les agents dénonciateurs l'ont qualifié de densité moyenne). Il y a donc là, à tout le moins, une négligence grossière. La faute commise doit ainsi être qualifiée de grave (dans le même sens, arrêt CR.2014.0061 du 9 octobre 2014 consid. 2d). En outre, s'il n'a pas concrètement mis en danger la circulation (il n'y a pas eu d'accident), le recourant a néanmoins créé une mise en danger abstraite importante du trafic. Les conducteurs des véhicules dépassés aurait en effet pu être surpris par la manoeuvre et amenés à des réactions dangereuses (par exemple un freinage intempestif ou un écart brusque). Ils auraient également pu se rabattre sur la voie de droite au moment où le recourant entreprenait de dépasser lui-même par la droite. Le risque d'accident était ainsi potentiellement élevé, avec des conséquences vraisemblablement graves. Conformément à la jurisprudence rappelée ci-dessus, la mise en danger créée par le dépassement par la droite entrepris par le recourant ne peut qu'être qualifiée de grave. Le fait qu'aucun usager n'ait finalement été gêné par la manoeuvre n'est pas déterminant (arrêts CR.2014.0061 du 9 octobre 2014 consid. 2d; CR.2013.0113 du 5 juin 2014 consid. 5; CR.2013.0087 du 13 novembre 2013 consid. 4). La double condition de gravité de la faute et de la mise en danger étant réalisée, c'est à juste titre que l'autorité intimée a qualifié l'infraction commise de grave au sens de l'art. 16c al. 1 let. a LCR. Le recourant se prévaut enfin en vain de la qualification retenue par le Tribunal de police. En effet, si l'autorité administrative est en principe liée par les faits retenus au pénal, il en va en revanche différemment des questions de droit, en particulier de l'appréciation de la faute et de la mise en danger (TF 1C_353/2010 du 12 janvier 2011 consid. 2.1 et les références).</w:t>
      </w:r>
    </w:p>
    <w:p>
      <w:r>
        <w:rPr>
          <w:b/>
        </w:rPr>
        <w:t>E. 3</w:t>
      </w:r>
    </w:p>
    <w:p>
      <w:r>
        <w:t>a) Selon l'art. 16c al. 2 LCR, après une infraction grave, le permis de conduire est retiré pour trois mois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lui a été retiré à deux reprises en raison d’infractions graves ou à trois reprises en raison d’infractions qualifiées de moyennement graves au moins (let. d); définitivement si, au cours des cinq années précédentes, le permis a été retiré en application de la let. d ou de l'art. 16b, al. 2, let. e (let. e). L'art. 17 al. 4 LCR précise que le permis de conduire retiré définitivement ne peut être restitué qu'aux conditions citées à l'art. 23 al. 3 LCR qui prévoit que lorsqu'une mesure frappe depuis cinq ans un conducteur de véhicule, le canton de domicile prendra, sur requête, une nouvelle décision, si l'intéressé rend vraisemblable que la mesure n'est plus justifiée.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En l'espèce, le recourant a fait l'objet le 27 septembre 2010 d'un retrait de durée indéterminée fondé sur l'art. 16c al. 2 let. d LCR. Il se trouve ainsi en situation de récidive au sens de l'art. 16c al. 2 let. e LCR. L'autorité intimée n'avait dès lors pas d'autre alternative que de prononcer un retrait définitif. Le délai d'attente de cinq ans correspond par ailleurs au minimum légal (art. 23 al. 3 LCR en relation avec l'art. 17 al. 4 LCR; voir également arrêt CR.2014.0065 du 12 novembre 2014 consid. 3). Quant à la condition fixée pour la restitution du permis de conduire (conclusions favorables d'une expertise auprès de l'UMPT), elle apparaît appropriée pour s'assurer de l’aptitude du recourant à la conduite et vérifier qu'il a pris conscience de la dangerosité de son comportement. Il convient de relever encore que la sanction aurait été identique, si l'infraction avait été qualifiée de moyennement grave (art. 16b al. 2 let. f LCR).</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