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CR.2015.0077 vom 25. Januar 2016</w:t>
      </w:r>
    </w:p>
    <w:p>
      <w:r>
        <w:t>VD Tribunal cantonal, 2016-01-25, FR</w:t>
      </w:r>
    </w:p>
    <w:p>
      <w:r>
        <w:rPr>
          <w:b/>
        </w:rPr>
        <w:t xml:space="preserve">Quelle: </w:t>
      </w:r>
      <w:r>
        <w:t>https://mcp.opencaselaw.ch/entscheid/vd_omni_CR.2015.0077</w:t>
      </w:r>
    </w:p>
    <w:p>
      <w:r>
        <w:t>FR: VD_OMNI CR.2015.0077 du 25 janvier 2016</w:t>
      </w:r>
    </w:p>
    <w:p>
      <w:r>
        <w:t>IT: VD_OMNI CR.2015.0077 del 25 gennaio 2016</w:t>
      </w:r>
    </w:p>
    <w:p>
      <w:pPr>
        <w:pStyle w:val="Heading2"/>
      </w:pPr>
      <w:r>
        <w:t>Regeste</w:t>
      </w:r>
    </w:p>
    <w:p>
      <w:r>
        <w:t>X________/Service des automobiles et de la navigation | Plus d’une heure après son interpellation, la conductrice recourante présentait un taux d'alcoolémie minimal de 1,79‰. Ce taux est supérieur au seuil de 1,6‰ à compter duquel un examen de l’aptitude à la conduite apparaît indiqué. Il fait naître de sérieux doutes quant à l'aptitude à la conduite des véhicules automobiles de la recourante, ce qui justifie un retrait de sécurité du permis jusqu'à ce que ces doutes puissent être levés grâce à une expertise médicale.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14 de la loi fédérale du 19 décembre 1958 sur la circulation routière (LCR; RS 741.01), tout conducteur de véhicule automobile doit posséder l'aptitude et les qualifications nécessaires à la conduite (al. 1). Est apte à la conduite (art.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mesures constituent des retraits de sécurité. 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En cas de doute, il y a lieu d'ordonner un examen psychologique ou psychiatrique (art. 11b al. 1 let. b de l'ordonnance du 27 octobre 1976 réglant l'admission des personnes et des véhicules à la circulation routière [OAC; RS 741.51]; ATF 139 II 95 consid. 3.4.1 et les réf. citées). b) Aux termes de l'art. 30 OAC,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122 II 359 consid. 3a; arrêt 1C_173/2009 du 27 mai 2009 consid. 3.1 in JdT 2009 I 520). Selon la jurisprudence rendue avant l'entrée en vigueur de la novelle "Via Sicura" dont il sera question plus loin, un examen de l'aptitude à conduire doit être ordonné lorsqu'un conducteur circulant en étant pris de boisson présente une alcoolémie de 2,5 grammes pour mille ou plus, indépendamment des autres circonstances. En effet, les personnes avec un taux aussi élevé disposent d'une tolérance à l'alcool très importante qui indique en général une dépendance à cette substance (ATF 129 II 82 consid. 4.2; 127 II 122 consid. 3c; 126 II 185 consid. 2e). Un examen de l'aptitude à la conduite s'impose également si un conducteur circule une deuxième fois en état d'ébriété dans un délai de cinq ans et présente une alcoolémie supérieure à 1,6 gramme pour mille (ATF 129 II 82 consid. 4.2 et 5.2; 126 II 361 consid. 3b et 3c) ou encore s'il conduit une troisième fois en état d'ébriété dans un intervalle de 10 ans, même si l'alcoolémie (valeur minimale) ne dépasse pas sensiblement la valeur limite de 0,8 gramme pour mille (arrêt 1C_108/2010 du 20 juillet 2010 consid. 2.2; cf. également manuel du 26 avril 2000 intitulé "Inaptitude à conduire: motifs de présomption, mesures, rétablissement de l'aptitude à conduire" élaboré par le groupe d'experts "Sécurité routière" de l'OFROU, p. 4; http://www.astra2.admin.ch/media/pdfpub/2000-08-03_236_f.pdf ). c) La novelle "Via sicura" du 15 juin 2012 (FF 2012 5501 ss; RO 2012 6291 ss) a introduit dans la LCR un art. 15d, entré en vigueur le 1 er janvier 2013 (à l'exception de la lettre a de l'alinéa 1, qui est entrée en vigueur le 1 er juillet 2014). Intitulée "Détermination de l'aptitude et des qualifications nécessaires à la conduite", cette disposition prévoit à son alinéa 1 er que si l'aptitude à la conduite soulève des doutes, la personne concernée fera l'objet d'une enquête. Elle dresse ensuite une liste - non exhaustive (cf. Philippe Weissenberger, Kommentar SVG und OBG, 2 ème éd., Zurich/Saint-Gall 2015, n°4 ad art. 15d; Jürg Bickel, in Basler Kommentar, Strassenverkehrsgestz, Niggli/Probst/Waldmann [ éds ] , Bâle 2014, n° 14 ad a rt. 15d) - des principaux cas dans lesquels une détermination de cette aptitude s'avère nécessaire. Il s'agit pour ce qui concerne le cas d'espèce de la conduite en état d'ébriété avec un taux d'alcool dans le sang de 1,6 gramme pour mille ou plus ou un taux d'alcool dans l'haleine de 0,8 milligramme ou plus par litre d'air expiré (art. 15d al. 1 let. a LCR). Ce taux est le double du taux d'alcool de 0,8 gramme pour mille réputé qualifié, constitutif d'une infraction grave à la circulation routière au sens de l'art. 16c al. 1 let. b LCR (cf. art. 55 al. 6 LCR et art. 1 al. 2 de l'ordonnance du 21 mars 2003 de l'Assemblée fédérale concernant les taux d'alcoolémie limites admis en matière de circulation routière [RS 741.13]). A propos de cette disposition, on peut lire dans le message du Conseil fédéral du 20 octobre 2010 concernant "Via sicura", que la loi doit mentionner les plus fréquents motifs justifiant un examen de l'aptitude à la conduite, conformément au manuel "Inaptitude à conduire : motifs de présomption. Mesures. Rétablissement de l'aptitude à conduire", publié le 26 avril 2000 par le groupe d'experts "Sécurité routière" de l'OFROU précité. Il s'agit notamment des dépendances à l'alcool. De tels faits fondent un soupçon préalable que l'aptitude à la conduite pourrait être réduite; ils entraînent l'obligation de se soumettre à un examen de l'aptitude à la conduite. En pareil cas, le permis de conduire est généralement retiré à titre provisionnel jusqu'à ce que les clarifications soient exécutées (FF 2010 7725). Du point de vue médical, un examen de l’aptitude à la conduite apparaît indiqué pour les personnes qui ont conduit un véhicule à moteur avec une concentration d’alcool dans le sang de 1,6 pour mille ou plus par unité de poids. Pour atteindre une telle alcoolémie, un homme de constitution moyenne doit boire environ 2,5 litres de bière ou un litre de vin en deux heures. Des concentrations aussi élevées sont l’indice d’un problème de consommation abusive, voire d’addiction (FF 2010 7755). d) En principe, lorsque l'un des cas prévus à l'art. 15d al. 1 LCR est réalisé, un retrait préventif au sens de l'art. 30 OAC doit être ordonné. En effet, dans ces cas, l'aptitude du conducteur est sérieusement en cause, raison pour laquelle il ne serait pas responsable du point de vue de la sécurité du trafic de laisser son permis de conduire à l'intéressé jusqu'à ce que les résultats de l'enquête soient connus (Weissenberger, op. cit., n° 12 ad art. 15d). L'art. 15d al. 1 LCR n'est pas formulée comme une disposition potestative ("Kann-Vorschrift"). En principe, une enquête au sujet de l'aptitude du conducteur doit être ordonnée sans égard aux circonstances individuelles, même lorsque dans le cas concret, les doutes sont minimes ou seulement de nature abstraite (Bickel, op. cit, n° 15 ad art. 15d LCR). Le cas décrit à l'art. 15d al. 1 let. a LCR est déjà réalisé lorsque l'on constate pour la première fois la concentration d'alcool dans le sang figurant dans cette disposition; la répétition d'un comportement fautif n'est pas exigée (ibidem, n° 18). En conclusion, l'enquête prévue à l'art. 15d LCR est assortie d'un retrait préventif lorsque les conditions prévues à l'alinéa 1 er de cette disposition sont remplies au vu du Message et de la doctrine sans équivoque à ce sujet : pour toute explication à cette sévérité très nettement accrue dans le dépistage d'une éventuelle inaptitude alcoolique, le législateur indique, en référence à la doctrine allemande, qu'un tel taux ne peut être atteint par un homme de constitution moyenne qu'avec l'ingestion de 2,5 litres de bière ou 1 litre de vin en deux heures, ce qui reflète l'indice d'un problème de consommation abusive, voire d'addiction (FF 2010 7755; Cédric Mizel, Droit et pratique illustrée du retrait du permis de conduire, Berne 2015, p. 73. En note infrapaginale n° 274, cet auteur relève en passant que la moitié des cantons, dont tous les grands, se sont opposés à la valeur-seuil prévue par la novelle, trop basse selon eux, outre qu'elle allait impliquer une augmentation massive des cas à clarifier [ Résultats de la procédure de consultation, du 3 février 2014, 44 ] ).</w:t>
      </w:r>
    </w:p>
    <w:p>
      <w:r>
        <w:rPr>
          <w:b/>
        </w:rPr>
        <w:t>E. 3</w:t>
      </w:r>
    </w:p>
    <w:p>
      <w:r>
        <w:t>Dans le cas présent, les faits litigieux sont postérieurs à l'entrée en vigueur du nouvel art. 15d al. 1 let. a LCR, de sorte que cette disposition doit trouver application. a) En l'occurrence, la prise de sang effectuée le 1 er août 2015 sur la recourante a révélé que, plus d’une heure après son interpellation, celle-ci présentait un taux d'alcoolémie minimal de 1,79 ‰ , ce qui excède nettement la valeur de 1,6 ‰ p révue par l'art. 15d al. 1 let. a LCR, valeur-seuil qui est atteinte par la valeur minimale déterminée par éthylotest, laquelle est de 1,60 ‰ . A ce taux d'ébriété qualifié, s'ajoute une perte de maîtrise, certes contestée par la recourante, survenue lors d'un demi-tour sur route malgré une ligne de sécurité, ce qui est établi. b) La législation s'est nettement durcie avec l'entrée en vigueur de la novelle "Via sicura" par rapport à la jurisprudence développée en regard de l'ancienne législation et une valeur-seuil, au-delà de laquelle une enquête sur l'aptitude à la conduite doit être ordonnée est désormais prévue. Dans l'intervalle, le retrait préventif du permis de conduire – respectivement l'interdiction préventive de conduire – se justifie, sans égard aux autres circonstances (tels qu'une conduite de vie irréprochable du conducteur, la recourante n’ayant pas fait l’objet de mesures administratives précédentes). Une seule conduite en état d'ébriété aux taux égal ou supérieur à celui prévu à l'art. 15d al. 1 let. a LCR justifie en effet de telles mesures. L'absence d'antécédent n'est à cet égard pas déterminante. c) On ne peut en conséquence que confirmer la décision de l'autorité intimée qui considère que le taux d'alcool constaté fait naître de sérieux doutes quant à l'aptitude à la conduite des véhicules automobiles de la recourante. Ce doute justifie de la retirer du trafic jusqu'à ce que ces doutes puissent être levés grâce à une expertise médicale. Par surabondance, cette décision se justifie également eu égard au comportement de la recourante, qui a admis avoir conduit malgré la prise de médicaments antidépresseurs le jour de l'accident, ce qui confirme l'existence de doutes sérieux au sujet de son aptitude à conduire des véhicules automobiles. S'il devait s'avérer, après expertise, que la mesure d'interdiction de conduire n'est pas justifiée, celle-ci devra aussitôt être rapportée.</w:t>
      </w:r>
    </w:p>
    <w:p>
      <w:r>
        <w:rPr>
          <w:b/>
        </w:rPr>
        <w:t>E. 4</w:t>
      </w:r>
    </w:p>
    <w:p>
      <w:r>
        <w:t>Les considérants qui précèdent conduisent au rejet du recours et à la confirmation de la décision attaquée, aux frais de la recourante qui succombe (art. 49 al. 1, 91 et 99 LPA-VD). Pour les mêmes motifs,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