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CR.2015.0073 vom 5. Januar 2016</w:t>
      </w:r>
    </w:p>
    <w:p>
      <w:r>
        <w:t>VD Tribunal cantonal, 2016-01-05, FR</w:t>
      </w:r>
    </w:p>
    <w:p>
      <w:r>
        <w:rPr>
          <w:b/>
        </w:rPr>
        <w:t xml:space="preserve">Quelle: </w:t>
      </w:r>
      <w:r>
        <w:t>https://mcp.opencaselaw.ch/entscheid/vd_omni_CR.2015.0073</w:t>
      </w:r>
    </w:p>
    <w:p>
      <w:r>
        <w:t>FR: VD_OMNI CR.2015.0073 du 5 janvier 2016</w:t>
      </w:r>
    </w:p>
    <w:p>
      <w:r>
        <w:t>IT: VD_OMNI CR.2015.0073 del 5 gennaio 2016</w:t>
      </w:r>
    </w:p>
    <w:p>
      <w:pPr>
        <w:pStyle w:val="Heading2"/>
      </w:pPr>
      <w:r>
        <w:t>Regeste</w:t>
      </w:r>
    </w:p>
    <w:p>
      <w:r>
        <w:t>A. X.________/Service des automobiles et de la navigation | Recours rejeté contre une décision sur réclamation confirmant le retrait du permis de conduire pendant trois mois. Le recourant devait faire valoir ses arguments auprès de l'autorité pénale. Il n'y a pas lieu de s'écarter des éléments de fait retenus par celle-ci. En circulant à 111 km/h, marge de sécurité déduite, sur un tronçon où la vitesse autorisée est de 80 km/h, le recourant a commis une infraction grave. Le besoin professionnel du permis et les ennuis familiaux que le retrait lui causerait ne permettent pas de fixer une durée de la sanction inférieure au minimum légal. La loi ne prévoit pas que le recourant puisse choisir à sa guise la période du retrait. Cela étant, un report de la mesure de retrait peut entrer en ligne de compte pour lui permettre d'organiser son emploi du temps, en fonction des intérêts en jeu.</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Il y a donc en principe lieu d'entrer en matière sur le fond. Certes, le recourant ne conclut pas subsidiairement au report de l'exécution de la mesure prononcée à son encontre de façon explicite. Toutefois, il découle des déclarations du recourant, qu'il conclut principalement à la réformation de la décision attaquée du SAN, en ce sens que la durée du retrait de son permis soit réduite de trois à un mois et subsidiairement, si la cour devait confirmer cette durée, à avoir au moins le choix de la période du retrait. Cela est suffisant.</w:t>
      </w:r>
    </w:p>
    <w:p>
      <w:r>
        <w:rPr>
          <w:b/>
        </w:rPr>
        <w:t>E. 2</w:t>
      </w:r>
    </w:p>
    <w:p>
      <w:r>
        <w:t>a) Le recourant allègue en particulier que la vitesse enregistrée serait peut-être quelque peu erronée, l'appareil de mesure étant un ancien modèle. Il demande "de réduire de deux kilomètre/heure la tolérance afin de passer à un mois de retrait au lieu des trois mois". b) La jurisprudence a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citées).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la procédure pénale, le cas échéant en épuisant les voies de recours à sa disposition. Elle ne peut pas attendre la procédure administrative pour exposer ses arguments ( ATF 123 II 97 consid. 3c/aa p. 103; 121 II 214 consid. 3a p. 217; cf. aussi ATF 1C_502/2011 du 6 mars 2012 consid. 2.1). c) En l'espèce, le recourant s'est déjà déterminé, le 15 juin 2015, sur son excès de vitesse du 29 mai 2015, en demandant de "reconsidérer cet excès de vitesse pour toutes les raisons évoquées dans ce courrier et ainsi m'éviter un retrait de permis très injuste et fort préjudiciable" . Il savait donc déjà à ce moment-là qu'une mesure serait prononcée contre lui. Le SAN a ensuite retiré le permis de conduire du recourant durant trois mois, par décision du 30 juin 2015. Le 3 juillet 2015, le recourant a déposé une réclamation contre cette décision. Le 14 juillet 2015, le SAN a suspendu la procédure administrative et a attiré l'attention du recourant sur le fait qu'il retiendrait l'état de fait établi par l'autorité pénale et qu'il lui appartenait de faire valoir tous ses arguments auprès de celle-ci. A l'évidence, le recourant savait que ses arguments devaient être exposés devant l'autorité pénale. En particulier, il devait remettre en question la fiabilité de l’appareil de mesure, lors de la procédure pénale, en épuisant les voies de recours à sa disposition. Force est de constater que le recourant ne l'a pas fait. L'ordonnance pénale du 17 août 2015 est ainsi devenue définitive et exécutoire. Conformément à la jurisprudence précitée, il n'y a donc pas lieu de s'écarter des éléments de fait retenus dans l'ordonnance pénale. Il faut admettre que le recourant a circulé à 111 km/h, marge de sécurité de 6 km/h déduite, hors localité, alors que la vitesse autorisée était de 80 km/h. Il convient en particulier de ne pas "réduire de deux kilomètre/heure la tolérance afin de passer à un mois de retrait au lieu des trois mois", comme le veut le recourant .</w:t>
      </w:r>
    </w:p>
    <w:p>
      <w:r>
        <w:rPr>
          <w:b/>
        </w:rPr>
        <w:t>E. 3</w:t>
      </w:r>
    </w:p>
    <w:p>
      <w:r>
        <w:t>Le recourant fait valoir en substance que la mesure prononcée à son encontre serait excessive, en raison en particulier de sa situation personnelle, de l'absence d'antécédent, de la nécessité professionnelle de son permis de conduire, de la configuration des lieux et des conditions atmosphériques au moment des faits. C'est le lieu de rappeler que le Tribunal fédéral a indiqué à plusieurs reprises que si les faits retenus au pénal lient en principe l'autorité et le juge administratifs, il en va différemment des questions de droit, en particulier de l'appréciation de la faute et de la mise en danger (ATF 1C_554/2013 du 17 septembre 2013 consid. 2.3; 1C_548/2012 du 6 août 2013 consid. 2.1; 1C_280/2012 du 28 juin 2013 consid. 2.1).</w:t>
      </w:r>
    </w:p>
    <w:p>
      <w:r>
        <w:rPr>
          <w:b/>
        </w:rPr>
        <w:t>E. 4</w:t>
      </w:r>
    </w:p>
    <w:p>
      <w:r>
        <w:t>a) La LCR distingue entre les cas de peu de gravité, les cas de gravité moyenne et les cas graves (art. 16 a à 16 c LCR). Commet une infraction légère notamment la personne qui, en violant les règles de la circulation, met légèrement en danger la sécurité d'autrui et à laquelle seule une faute bénigne peut être imputée (art. 16 a al. 1 let. a LCR). Commet une infraction moyennement grave notamment la personne qui, en violant les règles de la circulation, crée un danger pour la sécurité d'autrui ou en prend le risque (art. 16 b al. 1 let. a LCR). Commet enfin une infraction grave notamment la personne qui, en violant gravement les règles de la circulation, met sérieusement en danger la sécurité d'autrui ou en prend le risque (art. 16 c al. 1 let. a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p. 383).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124 II 259 consid. 2b p. 262). Il est de moyenne gravité lorsque le dépassement de la vitesse autorisée est, respectivement, de 21 à 24 km/h (ATF 126 II 196 consid. 2a p. 199), de 26 à 29 km/h et de 31 à 34 km/h (ATF 128 II 131 consid. 2a p. 132). Il est enfin de peu de gravité lorsque le dépassement de la vitesse autorisée est, respectivement, de 16 à 20 km/h, de 21 à 25 km/h et de 26 à 30 km/h (ATF 123 II 106; 124 II 97, 259). b) En l'occurrence, au vu de la jurisprudence précitée, en roulant à 111 km/h, marge de sécurité déduite, sur un tronçon où la vitesse autorisée est de 80 km/h, le recourant a commis une infraction grave au sens de l'art. 16 c al. 1 let. a LCR. Il a en effet dépassé la limite autorisée de 31 km/h, hors localité. C'est donc à raison que la décision attaquée retient que le recourant a commis une infraction grave.</w:t>
      </w:r>
    </w:p>
    <w:p>
      <w:r>
        <w:rPr>
          <w:b/>
        </w:rPr>
        <w:t>E. 5</w:t>
      </w:r>
    </w:p>
    <w:p>
      <w:r>
        <w:t>a) Conformément à l'art. 16 c al. 2 let. a LCR, après une infraction grave, le permis de conduire est retiré pour une durée de trois mois au moins. Dans les cas d'application de l'art. 16 c LCR, il n'est pas possible, même dans des circonstances particulières, de retirer le permis de conduire pour une durée inférieure aux durées minimales prévues par cette disposition (ATF 135 II 334 consid. 2.2 p. 336; 132 II 234 consid. 2.3 p. 236 s.). En effet,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p. 236). Le besoin professionnel du véhicule ne permet ainsi pas de prononcer une sanction inférieure au minimum prévu par l'art. 16 c LCR (cf. arrêt CDAP CR.2014.0041 du 25 août 2014 consid. 5a et les références citées). b) En l'espèce, l'autorité intimée a prononcé à l'encontre du recourant un retrait du permis de conduire durant la durée légale minimale de trois mois. En particulier, la nécessité professionnelle du permis de conduire et les bonnes conditions de circulation ne sont pas des circonstances qui permettraient de s'écarter exceptionnellement du minimum légal au regard de l'art. 16 al. 3 LCR (cf. à ce sujet ATF 1C_498/2012 du 8 janvier 2013). Il doit en aller de même de la configuration des lieux et des divers ennuis familiaux que le retrait causerait au recourant, tels qu'invoqués (cf. à ce sujet arrêt CDAP CR.2015.0018 du 30 avril 2015 consid. 3b). c) Pour le surplus, même s'il fallait tenir compte des circonstances susmentionnées, il faudrait relever que le recourant a eu connaissance, plus de trois mois à l'avance, de la date de la consultation médicale du 1 er juillet 2015  (cf. la lettre du DMCP du 18 mars 2015, consid. C ci-dessus). Un tel laps de temps lui permet de prendre les dispositions nécessaires, suffisamment tôt, pour se déplacer. Pour une ou deux occasions, il peut notamment demander l'aide de tiers (ami, collègue etc.), utiliser les transports publics ou se déplacer en taxi. Il en va de même s'agissant des visites chez sa mère qui habite en France. En cas d'urgence, le recourant peut aussi appeler une ambulance. Par ailleurs, il est inquiétant que le recourant déclare avoir " malheureusement l'habitude de dépasser la vitesse autorisée de quelques kilomètre/heure hors localité et surtout en ligne droite et loin des habitations" et adapter sa vitesse "à la route et aux circonstances et non pas aux radars placés judicieusement". Ces propos sont de nature à démontrer que le recourant n’a pas compris la gravité de son excès de vitesse, alors même que son permis de conduire lui a déjà été retiré en 2007 et qu'un avertissement a été prononcé à son encontre en 2013, en raison, dans les deux cas, d'une vitesse excessive. Cela démontre d'autant plus qu'il n'est pas approprié de réduire la mesure de retrait de trois mois. Partant, il n’y a pas lieu de réduire la durée du retrait de trois à un mois.</w:t>
      </w:r>
    </w:p>
    <w:p>
      <w:r>
        <w:rPr>
          <w:b/>
        </w:rPr>
        <w:t>E. 6</w:t>
      </w:r>
    </w:p>
    <w:p>
      <w:r>
        <w:t>Enfin, le recourant conclut subsidiairement à ce qu’il puisse avoir le choix de la période du retrait de son permis de conduire. Il propose que la mesure soit exécutée au début de l'année 2017, lorsque son épouse aura obtenu, selon lui, son permis de conduire. Dès lors que la loi ne prévoit pas que l’administré puisse choisir à sa guise la période du retrait de son permis de conduire, le recours doit également être rejeté sur ce point. Cela étant, on précisera que le conducteur fautif peut obtenir un report de l’exécution de la mesure de retrait pour lui permettre d’organiser son emploi du temps, en fonction des intérêts en jeu, en particulier de son utilité professionnelle (cf. ATF 134 II 39 consid. 3 p. 43; arrêts CDAP CR.2014.0023 du 19 septembre 2014 consid. 4; CR.2012.0077 du 11 mars 2013 consid. 2). Cas échéant, il appartient par conséquent au recourant d’effectuer une démarche dans ce sens auprès du SAN, étant précisé qu’un retrait fractionné n’est pas admis, pas plus qu'un report tel que requis par le recourant.</w:t>
      </w:r>
    </w:p>
    <w:p>
      <w:r>
        <w:rPr>
          <w:b/>
        </w:rPr>
        <w:t>E. 7</w:t>
      </w:r>
    </w:p>
    <w:p>
      <w:r>
        <w:t>Au vu de ces éléments, le recours doit être rejeté et la décision attaquée confirmée. Vu l'issue du recours, un émolument judiciaire de 800 fr. est mis à la charge du recourant, qui n'a pas droit à des dépens (art. 49 al. 1, 55 al. 1 a contrario , 91 LPA-VD; art. 4 du tarif du 28 avril 2015 des frais judiciaires et des dépens en matière administrative [TFJDA; RSV 173.36.5.1] ). Il n'y a pas lieu d'allouer de dépens à l'autorité intimée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