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CR.2015.0069 vom 16. Oktober 2015</w:t>
      </w:r>
    </w:p>
    <w:p>
      <w:r>
        <w:t>VD Tribunal cantonal, 2015-10-16, FR</w:t>
      </w:r>
    </w:p>
    <w:p>
      <w:r>
        <w:rPr>
          <w:b/>
        </w:rPr>
        <w:t xml:space="preserve">Quelle: </w:t>
      </w:r>
      <w:r>
        <w:t>https://mcp.opencaselaw.ch/entscheid/vd_omni_CR.2015.0069</w:t>
      </w:r>
    </w:p>
    <w:p>
      <w:r>
        <w:t>FR: VD_OMNI CR.2015.0069 du 16 octobre 2015</w:t>
      </w:r>
    </w:p>
    <w:p>
      <w:r>
        <w:t>IT: VD_OMNI CR.2015.0069 del 16 ottobre 2015</w:t>
      </w:r>
    </w:p>
    <w:p>
      <w:pPr>
        <w:pStyle w:val="Heading2"/>
      </w:pPr>
      <w:r>
        <w:t>Regeste</w:t>
      </w:r>
    </w:p>
    <w:p>
      <w:r>
        <w:t>X.________ /Service des automobiles et de la navigation | La lettre de l'autorité qui se borne à répondre au recourant qu'elle n'accordait aucun entretien aux usagers et que la procédure se faisait uniquement par écrit n'est pas une décision au sens de l'art. 3 LPA-VD. Même si l'on interprétait l'acte de recours comme étant dirigé contre la décision sur réclamation rendue avant la lettre précitée, le recours devrait être considéré comme tardif. Recours en conséquence irrecevable.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 GE.2014.0041 du 27 mai 2014 et les références). b) En l'espèce, l'acte attaqué est une lettre de l'autorité intimée qui se borne à répondre au recourant qu’elle n’accordait aucun entretien aux usagers et que la procédure se faisait uniquement par écrit. Cet acte n'a pas pour effet de créer, modifier ou supprimer un rapport de droit entre l'administration et le citoyen. L'acte attaqué n'est donc manifestement pas une décision au sens de l'art. 3 LPA-VD. c) Même si l’on interprétait l’acte de recours comme étant dirigé contre la décision sur réclamation du 14 juillet 2015, le recours, déposé le 19 septembre 2015, devrait être considéré comme tardif, partant irrecevable, même si l’on tient compte des féries allant du 15 juillet au 15 août (art. 96 LPA-VD). 2. En conséquence, le recours doit être déclaré irrecevable. La requête d’assistance judiciaire doit être rejetée, dans la mesure où les conclusions apparaissaient manifestement irrecevables (art. 18 LPA-VD). Le recourant, qui succombe,  doit en principe supporter les frais de justice (art. 49 al. 1 LPA-VD). Compte tenu de sa mauvaise situation financière, il se justifie de renoncer à percevoir des frais (art. 50 LPA-VD).</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