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CR.2015.0064 vom 26. Januar 2016</w:t>
      </w:r>
    </w:p>
    <w:p>
      <w:r>
        <w:t>VD Tribunal cantonal, 2016-01-26, FR</w:t>
      </w:r>
    </w:p>
    <w:p>
      <w:r>
        <w:rPr>
          <w:b/>
        </w:rPr>
        <w:t xml:space="preserve">Quelle: </w:t>
      </w:r>
      <w:r>
        <w:t>https://mcp.opencaselaw.ch/entscheid/vd_omni_CR.2015.0064</w:t>
      </w:r>
    </w:p>
    <w:p>
      <w:r>
        <w:t>FR: VD_OMNI CR.2015.0064 du 26 janvier 2016</w:t>
      </w:r>
    </w:p>
    <w:p>
      <w:r>
        <w:t>IT: VD_OMNI CR.2015.0064 del 26 gennaio 2016</w:t>
      </w:r>
    </w:p>
    <w:p>
      <w:pPr>
        <w:pStyle w:val="Heading2"/>
      </w:pPr>
      <w:r>
        <w:t>Regeste</w:t>
      </w:r>
    </w:p>
    <w:p>
      <w:r>
        <w:t>X.________ /Service des automobiles et de la navigation | Le recourant est titulaire d'un permis de conduire à l'essai et a commis des infractions ayant entraîné deux retraits pendant la période de probation. Son permis est donc caduc (c. 1). Contrairement à ce qu'il allègue, cette "sanction automatique" est conforme à l'art. 6 CEDH (c. 2). Par ailleurs, elle ne viole pas le principe "ne bis in idem" (c. 3). Le recours est donc rejeté. Recours au TF rejeté dans la mesure où il est recevable (1C_97/2016 du 2 juin 2016)</w:t>
      </w:r>
    </w:p>
    <w:p>
      <w:pPr>
        <w:pStyle w:val="Heading2"/>
      </w:pPr>
      <w:r>
        <w:t>Erwägungen</w:t>
      </w:r>
    </w:p>
    <w:p>
      <w:r>
        <w:rPr>
          <w:b/>
        </w:rPr>
        <w:t>E. 1</w:t>
      </w:r>
    </w:p>
    <w:p>
      <w:r>
        <w:t>Le permis de conduire obtenu pour la première fois pour un motocycle ou une voiture automobile est délivré à l'essai. La période probatoire est de trois ans.</w:t>
      </w:r>
    </w:p>
    <w:p>
      <w:r>
        <w:rPr>
          <w:b/>
        </w:rPr>
        <w:t>E. 2</w:t>
      </w:r>
    </w:p>
    <w:p>
      <w:r>
        <w:t>[…] 2bis […]</w:t>
      </w:r>
    </w:p>
    <w:p>
      <w:r>
        <w:rPr>
          <w:b/>
        </w:rPr>
        <w:t>E. 3</w:t>
      </w:r>
    </w:p>
    <w:p>
      <w:r>
        <w:t>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w:t>
      </w:r>
    </w:p>
    <w:p>
      <w:r>
        <w:rPr>
          <w:b/>
        </w:rPr>
        <w:t>E. 4</w:t>
      </w:r>
    </w:p>
    <w:p>
      <w:r>
        <w:t>Le permis de conduire à l'essai est caduc lorsque son titulaire commet une seconde infraction entraînant un retrait.</w:t>
      </w:r>
    </w:p>
    <w:p>
      <w:r>
        <w:rPr>
          <w:b/>
        </w:rPr>
        <w:t>E. 5</w:t>
      </w:r>
    </w:p>
    <w:p>
      <w:r>
        <w:t>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w:t>
      </w:r>
    </w:p>
    <w:p>
      <w:r>
        <w:rPr>
          <w:b/>
        </w:rPr>
        <w:t>E. 6</w:t>
      </w:r>
    </w:p>
    <w:p>
      <w:r>
        <w:t>Après avoir repassé avec succès l'examen de conduite, la personne concernée obtient un nouveau permis de conduire à l'essai. » La révision législative portant notamment sur l'adjonction de l'art. 15a 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[ci-après: Message], FF 1999 4106/4108). D'après la lettre et l'esprit de cette disposition, la caducité du permis à l'essai n'est pas liée au fait que le précédent retrait ait été exécuté ou que la décision y relative soit entrée en force. Il ne s'agit dès lors pas d'un cas de récidive au sens technique ("Rückfall"), mais plutôt d'une simple réitération ("Wiederholung"). Au surplus, le Message ne fait nullement référence au système du retrait du permis définitif et le système employé, et voulu par le législateur, pour le permis de conduire définitif ne doit pas s'appliquer directement au permis à l'essai; ce dernier poursuit en effet une fonction éducative et son but est notamment de diminuer les accidents en sanctionnant de manière plus sévère ceux qui compromettent la sécurité routière (ATF 136 II 447 consid. 5.3). 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En effet, selon la ratio legis ,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(ATF 136 II 447 consid. 5). b) La LCR distingue les infractions légères, moyennement graves et graves (art. 16a - 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(ATF 136 II 447 consid. 3.2).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147 consid. 3.2 ; 135 II 138 consid. 2.2.2; arrêt 6A.16/2006 du 6 avril 2006 consid. 2.1.1, in JdT 2006 I 442). c) L'art. 34 al. 4 LCR prévoit que le conducteur doit observer une distance suffisante notamment lorsque des véhicules se suivent. Cette disposition est concrétisée à l' art. 12 al. 1 de l’ordonnance du 13 novembre 1962 sur les règles de la circulation routière (OCR ; RS 741.11) , selon lequel lorsque des véhicules se suivent, le conducteur se tiendra à une distance suffisante du véhicule qui le précède, afin de pouvoir s'arrêter à temps en cas de freinage inattendu. L'irrespect d'une distance suffisante constitue une violation simple (art. 90 ch. 1 LCR), le cas échéant grave (art. 90 ch. 2 LCR) des règles de la circulation ( ATF 131 IV 133 consid. 3; PHILIPPE WEISSENBERGER, Kommentar zum Strassenverkehrsgesetz, n. 51 ss ad art. 34 LCR). Ce qu'il faut entendre par " distance suffisante " au sens de l'art. 34 al. 4 LCR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développé aucun principe général en ce qui concerne la distance à partir de laquelle une violation simple des règles de la circulation, au sens de l'art. 90 al. 1 LCR, doit être retenue dans tous les cas, même en présence de conditions favorables. Elle a toutefois admis que la règle des deux secondes ou du " demi compteur " (correspondant à un intervalle de 1,8 seconde) étaient des standards minima habituellement reconnus ( ATF 131 IV 133 consid. 3.1 ; 104 IV 192 consid. 2b ; arrêt TF 6B_281/2013 du 16 juillet 2013 consid. 2.2). Prenant en compte la pratique allemande et la doctrine, la jurisprudence du Tribunal fédéral a considéré que le cas peut être grave lorsque l'intervalle entre les véhicules est inférieur à 0,8 voire 0,6 seconde ( ATF 131 IV 133 consid. 3.2.2).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cf. aussi arrêts 6B_281/2013 précité consid. 2.2 ; 1C_356/2009 du 12 février 2010; 1C_7/2010 du 11 mai 2010; 1C_274/210 du 7 octobre 2010) ou encore lorsque, à une vitesse de 100 km/h, il suit le véhicule précédent sur 330 mètres, à une distance de 10 mètres (arrêt 1C_356/2009 du 12 février 2010). Le Tribunal fédéral a également retenu une violation grave de la circulation en cas de distance supérieure à 0,6 seconde, lorsque les conditions de la route et de visibilité n'étaient pas favorables (arrêt 6B_700/2010 du 16 novembre 2010; cf. aussi WEISSENBERGER, op. cit., n° 54 ad art. 34 LCR). En revanche, le conducteur commet en tout cas une faute moyennement grave lorsque, à une vitesse de 85 km/h, il suit un autre usager à une distance de 8 mètres ( ATF 126 II 358 ), ou lorsqu'à une vitesse de 87 km/h, il suit un véhicule à une distance de 5 à 10 mètres (arrêt 6A.54/2004 du 3 février 2005). d) En l’occurrence, le recourant est soumis au permis de conduire à l’essai, ce qu’il ne conteste pas. Le 29 octobre 2013, il s’est vu retirer son permis de conduire pendant quatre mois pour infraction grave à la circulation. Le 26 mars 2015, l’intéressé a admis avoir suivi sur l’autoroute à une vitesse de 150km/h le véhicule précédent à une distance de 3-4m. Au vu de la jurisprudence précitée, la faute doit être qualifiée de grave, de même que la mise en danger (cf. arrêt TF 1C_554/2013 du 17 septembre 2013 consid. 2.4 in fine ). La conséquence d’une telle infraction est le retrait du permis de conduire pendant une durée minimale de trois mois (art. 16c al. 2 LCR). Ainsi, le recourant ayant provoqué deux retraits pendant la période de probation, son permis de conduire à l’essai est caduc, conformément à l’art. 15a al. 4 LCR. 2. a) Le recourant allègue que le système mis en place par l’art. 15a LCR viole la jurisprudence de la CourEDH (arrêt rendu dans la cause Malige c. France le 23 septembre 1998 (req. 27'812/95) puisqu’il conduit à un système de sanction automatique sans rendre possible un contrôle juridictionnel efficace et effectif de la proportionnalité, et partant, que l’annulation de son permis de conduire viole l’art. 6 § 1 CEDH. b) C’est à tort que le requérant Malige (contre France) a prétendu que la loi qui prévoit une sanction automatique déterminée par l’application d’un barème fixe violait l’art. 6 CEDH (§ 43). En effet, la Cour a tout d'abord rappelé que la sanction de retrait de points intervenait une fois que la réalité des faits avait été établie, c’est-à-dire notamment une fois qu’un jugement pénal était entré en force et que l’intéressé avait été en mesure de faire valoir tous ses moyens devant l’autorité compétente (§ 45/46). En l’espèce, tout comme Malige, le recourant pouvait contester l’ordonnance pénale qui lui a été notifiée par le Préfet de Nyon, sachant que des mesures administratives seraient prises à son encontre puisqu’il avait déjà fait l’objet d’un retrait de permis. Ainsi, de la même façon que dans l’arrêt précité, les sanctions administratives automatiques découlent d’une situation de faits ayant déjà fait l’objet d’un contrôle juridictionnel, ce qui implique que ces mesures ne violent pas l’art. 6 § 1 CEDH. c) Le recourant soutient surtout que le contrôle de la proportionnalité devrait intervenir au stade de la procédure judiciaire et que la loi ne saurait exclure un tel contrôle. Il se prévaut à cet égard du passage suivant de l'arrêt Malige (consid. 49), qu'il cite : " 49. Quant à la proportionnalité de la sanction, la Cour note, avec la Commission, que la loi elle-même a prévu dans une certaine mesure la modulation du retrait de points en fonction de la gravité de la contravention commise par le prévenu. En l’espèce, celle-ci entraînait le retrait de quatre points sur les douze que compte le permis de conduire, et on ne saurait donc qualifier cette mesure de disproportionnée par rapport au comportement qu’elle entend sanctionner. D’une part, elle n’a pas pour conséquence immédiate l’annulation du permis de conduire. D’autre part, l’intéressé peut reconstituer son capital de points, soit en ne commettant pas pendant le délai de trois ans une nouvelle infraction sanctionnée d’un retrait de points, soit en suivant une formation spécifique (article L. 11-6 du code de la route – paragraphe 21 ci-dessus) ; il garde donc une certaine latitude de comportement." Le recourant soutient que le système mis en place par l'art. 15a LCR viole ce considérant puisqu'il conduit à un système de sanction automatique sans rendre possible un contrôle juridictionnel efficace et effectif de la proportionnalité: il ne serait pas acceptable que le constat d'une infraction par le juge pénal soit suivi d'une sanction administrative (mais de caractère pénal) sans examen de la situation particulière de la personne concernée. Le recourant perd de vue que la présente procédure lui permet de faire contrôler que les conditions légales de la caducité du permis de conduire sont remplies, à savoir que la nouvelle infraction commise durant la période probatoire est une infraction qui entraîne un retrait de permis. Le présent arrêt procède d'ailleurs à ce contrôle au considérant précédent, alors même que le recourant n'élevait aucune contestation sur ce point. Pour le surplus, il est vrai que si les conditions de l'art. 15a LCR sont remplies, l'autorité ne peut que prononcer la caducité du permis de conduire. Quelque schématique que soient cette disposition, on ne voit pas en quoi l'art. 6 CEDH empêcherait le législateur de prévoir un seuil à partir duquel la sanction maximale est applicable. Enfin, il n'est pas possible de tenir compte des conséquences professionnelles de l’annulation du retrait du permis de conduire du recourant puisque l'art. 15a al. 4 LCR prévoit impérativement la caducité du permis de conduire à l'essai si le conducteur concerné fait l'objet d'un second retrait de permis; aucune solution moins contraignante n'est autorisée. La critique du recourant se heurte dans tous les cas à l'art. 190 Cst. qui contraint le Tribunal fédéral à appliquer les lois fédérales ( ATF 136 II 120 consid. 3.5.1; 131 II 562 consid. 3.2; cf. arrêt TF 1C_361/2014 du 26 janvier 2015 consid. 4.2 in fine ). d) Ainsi, ce grief, mal fondé, doit être rejeté. 3. Le recourant fait ensuite valoir que l'annulation de son permis équivaut à une triple sanction: pénale, administrative et privée (perte d'emploi et impossibilité de rester dans les rangs de l'armée à titre professionnel). Apparemment, le recourant se prévaut là du principe ne bis in idem. La Cour européenne s'est déjà prononcée sur la dualité des procédures administrative et pénale . Après avoir relevé que l'annulation du permis de conduire revêt, par son degré de gravité, un caractère punitif et dissuasif et s'apparente à une sanction pénale , elle a considéré que le retrait du permis de conduire ordonné par une autorité administrative , consécutivement à une condamnation pénale à raison des mêmes faits, n'emporte pas une violation de l'art. 4 du Protocole n°</w:t>
      </w:r>
    </w:p>
    <w:p>
      <w:r>
        <w:rPr>
          <w:b/>
        </w:rPr>
        <w:t>E. 7</w:t>
      </w:r>
    </w:p>
    <w:p>
      <w:r>
        <w:t>(droit à ne pas être jugé ou puni deux fois ; RS 0.101.07), lorsque la mesure administrative découle de manière directe et prévisible de la condamnation, dont elle ne constitue que la conséquence (arrêts Nilsson contre Suède du 13 décembre 2005; R.T. contre Suisse du 30 mai 2000, in JAAC 2000 n o 152 p. 1391). L'étroite connexion entre les deux sanctions a amené la Cour européenne à conclure que la mesure administrative s'apparente à une peine complémentaire à la condamnation pénale , dont elle fait partie intégrante (arrêt Maszni contre Roumanie du 21 septembre 2006 § 69 ; ATF 139 II 95 ; 137 I 363 consid. 2.3.3 et Bussy/Rusconi/Jeanneret/Kuhn/Mizel/Müller, Code suisse de la circulation soutière, 4 e éd., Bâle 2015, n° 1.3.3 ad intro. art. 16ss LCR). Par ailleurs, le Tribunal fédéral a également précisé que « malgré son indépendance, l’autorité administrative se doit d’éviter le plus possible des décisions contradictoires, ce qui requiert qu’elle s’attache à l’appréciation du juge pénal si celle-ci est soutenable, même si elle aurait apprécié la faute différemment » (arrêt TF 1C_424/2012 consid. 2.3). Ainsi, c’est en vain que le recourant se plaint du fait que l’annulation de son permis équivaudrait à une triple sanction. 4. Enfin, le recourant se plaint d’une violation du droit à la formation, puisque sans permis de conduire, il ne peut accéder à la formation envisagée auprès de l’EPFZ. Cet argument, mal fondé, doit également être rejeté. En effet, le recourant perd de vue que les buts sociaux figurant à l' art. 41 Cst . n'impliquent aucun droit subjectif à des prestations de l'Etat (art. 41 al. 4 Cst.) : de nature programmatique, ils sont dépourvus de caractère "self executing" et ne peuvent pas être invoqués au titre de droits fondamentaux (cf. arrêt TF 8D_2/2014 du 4 février 2015 consid. 6.5). Par ailleurs, il convient encore d’ajouter que, tout en connaissant les contraintes liées au permis de conduire à l’essai, le recourant a commis des infractions graves à deux reprises en moins de trois ans. Si son permis lui était essentiel, il lui appartenait de se comporter d’une manière conforme au droit. D’ailleurs, le premier retrait de permis aurait dû lui servir d’avertissement. Au vu de ce qui précède, et nonobstant les arguments invoqués par le recourant, le Tribunal constate que l’autorité intimée n’a pas violé la loi, ni abusé de son pouvoir d’appréciation en annulant le permis de conduire à l’essai du recourant. 5. Ainsi, le recours doit être rejeté et la décision attaquée confirmée. Les frais de justice seront mis à la charge du recourant, qui succombe (art. 49 LPA-VD). Il ne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