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CR.2015.0022 vom 2. September 2015</w:t>
      </w:r>
    </w:p>
    <w:p>
      <w:r>
        <w:t>VD Tribunal cantonal, 2015-09-02, FR</w:t>
      </w:r>
    </w:p>
    <w:p>
      <w:r>
        <w:rPr>
          <w:b/>
        </w:rPr>
        <w:t xml:space="preserve">Quelle: </w:t>
      </w:r>
      <w:r>
        <w:t>https://mcp.opencaselaw.ch/entscheid/vd_omni_CR.2015.0022</w:t>
      </w:r>
    </w:p>
    <w:p>
      <w:r>
        <w:t>FR: VD_OMNI CR.2015.0022 du 2 septembre 2015</w:t>
      </w:r>
    </w:p>
    <w:p>
      <w:r>
        <w:t>IT: VD_OMNI CR.2015.0022 del 2 settembre 2015</w:t>
      </w:r>
    </w:p>
    <w:p>
      <w:pPr>
        <w:pStyle w:val="Heading2"/>
      </w:pPr>
      <w:r>
        <w:t>Regeste</w:t>
      </w:r>
    </w:p>
    <w:p>
      <w:r>
        <w:t>X.________ /Service des automobiles et de la navigation | Un excès de vitesse de 25 km/h à l'intérieur d'une localité constitue objectivement un cas grave. Les conditions pour s'écarter des faits retenus par le juge pénal ne sont pas réalisées et la mesure de retrait du permis de conduire qui s'en tient à la durée légale minimale compte tenu d'un antécédent doit être maintenue.</w:t>
      </w:r>
    </w:p>
    <w:p>
      <w:pPr>
        <w:pStyle w:val="Heading2"/>
      </w:pPr>
      <w:r>
        <w:t>Erwägungen</w:t>
      </w:r>
    </w:p>
    <w:p>
      <w:r>
        <w:rPr>
          <w:b/>
        </w:rPr>
        <w:t>E. 1</w:t>
      </w:r>
    </w:p>
    <w:p>
      <w:r>
        <w:t>let. a LCR). Après une infraction légère, le permis de conduire est retiré pour un mois au moins au conducteur qui a fait l'objet d'un retrait de permis au cours des deux années précédentes (art. 16a al. 2 LCR). Après une infraction moyennement grave, le permis de conduire est retiré pour quatre mois au minimum si, au cours des deux années précédentes, le permis a été retiré une fois en raison d'une infraction grave ou moyennement grave (16b al. 2 let. b LCR) et après une infraction grave, il est retiré pour douze mois au minimum si, au cours des cinq années précédentes, le permis a été retiré une fois en raison d'une infraction grave ou à deux reprises en raison d'infractions moyennement graves (art. 16c al. 2 let. c LCR). b)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124 II 259 consid. 2b). Il est en revanche de moyenne gravité lorsque le dépassement de la vitesse autorisée est, respectivement, de 21 à 24 km/h (ATF 126 II 196 consid. 2a), de 26 à 29 km/h et de 31 à 34 km/h (ATF 128 II 131 consid. 2a).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124 II 97 consid.2c; 123 II 37 consid. 1f). L'autorité pourra également renoncer au retrait du permis de conduire en présence de circonstances analogues à celles qui justifient de renoncer à une peine en application de l'art. 54 CP (arrêts 1C_303/2007 du 15 mai 2008 consid. 8.1; 6B_264/2007 du 19 septembre 2007 consid. 3.1; 6A.103/2002 consid. 2.2 in SJ 2003 I p. 287; ATF 128 II 86 consid. 2c; 126 II 196 consid. 2c) ou encore des art. 17 ss CP (arrêt 1C_4/2007 du 4 septembre 2007 consid. 2.2). c)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une telle situation, la personne impliquée est tenue, en vertu des règles de la bonne foi, de faire valoir ses moyens dans le cadre de la procédure pénale, le cas échéant en épuisant les voies de recours à sa disposition, et ne peut attendre la procédure administrative pour exposer ses arguments (ATF 123 II 97 consid. 3c/aa; arrêt 1C_192/2013 du 9 janvier 2014 consid. 2.1.1). Si les faits retenus au pénal lient en principe l'autorité et le juge administratifs, il en va différemment des questions de droit, en particulier de l'appréciation de la faute et de la mise en danger (arrêts 1C_495/2013 du 7 janvier 2014 consid. 6.1; 1C_502/2011 du 6 mars 2012 consid. 2.1 et les références). d) En l'espèce, le recourant a été dénoncé pour avoir dépassé de 25 km/h (marge de sécurité déduite) la vitesse maximale autorisée à l'intérieur d'une localité. Ce dépassement de vitesse se situe certes à l'exacte limite du cas grave et du cas de moyenne gravité mais selon la jurisprudence (voir par exemple arrêt 1C_83/2008 du 16 octobre 2008, consid. 2.2), un tel dépassement constitue objectivement un cas grave, sans égard aux circonstances concrètes, devant entraîner un retrait du permis de conduire, à moins que le cas ne doive être considéré comme de peu de gravité, en raison de circonstances particulières. L'autorité intimée s'est fondée sur les constatations de fait résultant du jugement du 26 juin 2014 de la Cour d'appel pénale du Tribunal cantonal, entré en force. Après audition de l'intéressé, le tribunal a retenu que la version des faits, selon laquelle le recourant n'avait pas vu le panneau marquant l'entrée de la localité et limitant la vitesse à 50 km/h, car celui-ci était caché par le camion qu'il dépassait et que, par conséquent, il ne pouvait pas savoir que la vitesse était limitée à moins de 80 km/h à l'endroit où elle a été mesurée, se heurtait aux explications données à l'audience de première instance, au cours de laquelle il avait admis qu'il connaissait bien la route et qu'il savait où étaient les panneaux de limitation de vitesse, ce qui suffisait à exclure toute erreur sur les faits. Pour le surplus, cette version des faits, que le recourant a également présentée dans la lettre qu'il a adressé à la police, n'était pas identique à celle donnée aux débats, selon laquelle il ne se serait pas rendu compte, lors du dépassement, qu'il se trouvait à l'entrée du village, et a été jugée par le tribunal invraisemblable, compte tenu des bandes de ralentissement et du virage à droite visible bien avant l'emplacement du radar. Le tribunal a considéré que ces contradictions rendaient l'intéressé peu crédible et qu'il l'était d'autant moins qu'il soutenait dans le courrier précité, avoir pu prendre la décision de dépasser parce qu'il tenait bien sa droite et qu'il avait pu constater qu'aucun véhicule ne venait en sens contraire; or, dans ces circonstances et compte tenu de la configuration de la route, qui est rectiligne à cet endroit, le tribunal a considéré que l'intéressé, en tenant bien sa droite au point de voir la route loin devant lui, ne pouvait pas ne pas voir le panneau de limitation de vitesse, dont il connaissait d'ailleurs l'emplacement. Enfin, la version du dépassement du camion est apparue au tribunal peu crédible car si l'intéressé, qui a été photographié à 75 km/h, marge de sécurité déduite, avait dépassé un camion puis freiné dès le dépassement terminé, comme il le prétend, le camion transportant des billes de bois serait à l'évidence visible, au moins en partie, sur la photographie prise au radar; or, aucun autre véhicule n'a été observé sur cette photographie, pourtant de bonne qualité. Enfin, le tribunal a constaté que l'appelant était resté très vague sur sa vitesse au moment du prétendu dépassement, reconnaissant avoir "certainement roulé à plus de 50 km/h", avant d'émettre, aux débats "toute réserve sur ce point". Si comme il l'a expliqué, c'est au moment de freiner "fortement" qu'il a été flashé, cela signifiait pour le tribunal, vu la vitesse mesurée, que, lors du dépassement, il circulait à une vitesse bien supérieure aux 80 km/h à laquelle il affirme avoir pensé être autorisé à rouler à cet endroit. Le tribunal a conclu qu'on ne comprenait pas, dans ces circonstances, comment l'intéressé pouvait aboutir à la conclusion qu'il devait être purement libéré de l'accusation de violation des règles de la circulation. Il s'en est suivi pour le tribunal que les explications qui fondaient la théorie de l'erreur sur les faits étaient contredites par les faits eux-mêmes. A supposer que l'intéressé n'ait pas vu le panneau de limitation, cette carence serait fautive, de la même manière pour une inattention durable (art. 100 al. 1 LCR), dans la mesure où, arrivant dans une localité, il devait être attentif aux signalisations, d'autant plus s'il désirait effectuer un dépassement. Le tribunal a considéré que c'était à juste titre que le recourant avait été reconnu coupable de violation grave des règles sur la circulation routière en première instance. A l'appui de son recours, le recourant fait valoir qu'il était intimement convaincu, au moment du contrôle de vitesse, que le tronçon routier en question était limité à 80 km/h, étant précisé que le panneau de signalisation de vitesse était masqué par un camion qu'il avait entrepris de dépasser. Son erreur sur les faits pouvait être appuyée par le fait qu'au moment du contrôle, il se trouvait dans une zone non encore bâtie en entrée de localité, le panneau de limitation de vitesse ayant été placé très en amont de la zone bâtie. En outre, au vu de cette configuration, il n'était pas susceptible de mettre gravement en danger d'autres usagers de la route ou des piétons. Ce faisant, le recourant réitère l'argumentation que la Cour pénale a minutieusement écartée pour retenir que celui-ci ne pouvait pas se prévaloir d'une erreur sur les faits et à laquelle il y a lieu de se référer. Le recourant n'avance pas d'élément qui n'aurait pas été porté à la connaissance des juges pénaux. Quant au fait qu'aucune mise en danger concrète n'ait été constatée, cet élément est sans pertinence. S'agissant du besoin personnel que peut avoir le recourant de son permis pour se déplacer, en raison d'un domicile situé en périphérie et peu doté en transports publics, il ne joue de rôle que pour décider de la durée du retrait, qui, en l'espèce, a été fixée au minimum légal de douze mois, compte tenu d'un antécédent (art. 16c al. 2 let. c LCR). Or, l'art. 16 al. 3 LCR confère aux durées de retrait minimales prévues par la loi un caractère incompressible (cf. ATF 135 II 334 consid. 2.2; ATF 132 II 234 consid. 2.3). Enfin, le recourant fait valoir que ses antécédents en matière de circulation routière ne concernent que des accrochages de peu d'importance, ce qui est faux si on se réfère à l'extrait du registre des mesures ADMAS, qui fait état d'un retrait du permis de conduire du 29 mars 2010 de six mois pour infraction grave à raison d'un excès de vitesse. En conclusion, les circonstances invoquées par le recourant ne permettent pas de revenir sur la qualification du cas, qui constitue un cas grave au sens de la jurisprudence rappelée ci-dessus. Il s'ensuit que la décision de l'autorité intimée, qui s'est conformée au minimum légal, en prononçant une mesure de retrait du permis de conduire d'une durée de douze mois compte tenu d'un antécédent doit être maintenue.</w:t>
      </w:r>
    </w:p>
    <w:p>
      <w:r>
        <w:rPr>
          <w:b/>
        </w:rPr>
        <w:t>E. 2</w:t>
      </w:r>
    </w:p>
    <w:p>
      <w:r>
        <w:t>Les considérants qui précèdent conduisent au rejet du recours et à la confirmation de la décision attaquée. Un émolument sera mis à la charge du recourant débouté, qui n'a pas droit à des dépens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