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CR.2015.0005 vom 2. Juni 2015</w:t>
      </w:r>
    </w:p>
    <w:p>
      <w:r>
        <w:t>VD Tribunal cantonal, 2015-06-02, FR</w:t>
      </w:r>
    </w:p>
    <w:p>
      <w:r>
        <w:rPr>
          <w:b/>
        </w:rPr>
        <w:t xml:space="preserve">Quelle: </w:t>
      </w:r>
      <w:r>
        <w:t>https://mcp.opencaselaw.ch/entscheid/vd_omni_CR.2015.0005</w:t>
      </w:r>
    </w:p>
    <w:p>
      <w:r>
        <w:t>FR: VD_OMNI CR.2015.0005 du 2 juin 2015</w:t>
      </w:r>
    </w:p>
    <w:p>
      <w:r>
        <w:t>IT: VD_OMNI CR.2015.0005 del 2 giugno 2015</w:t>
      </w:r>
    </w:p>
    <w:p>
      <w:pPr>
        <w:pStyle w:val="Heading2"/>
      </w:pPr>
      <w:r>
        <w:t>Regeste</w:t>
      </w:r>
    </w:p>
    <w:p>
      <w:r>
        <w:t>X.________/Service des automobiles et de la navigation | Conducteur ayant circulé à une vitesse de 101 km/h, marge de sécurité déduite, dans une zone où la vitesse était limitée à 50 km/h. Décision du SAN prononçant le retrait de sécurité du permis de conduire de l'intéressé pour cause d'inaptitude caractérielle à la conduite de véhicules automobiles au sens de l'art. 16d al. 1 let. c LCR. Recours du conducteur contre cette décision. Le retrait de sécurité peut être ordonné sans qu'il y ait un jugement pénal passé en force, dès lors qu'il résulte uniquement de motifs de sécurité de la circulation indépendamment de la faute imputable au recourant. Il n'y a pas lieu de déterminer si le dépassement de vitesse en cause est formellement constitutif d'un délit de chauffard, la qualification de l'infraction commise par le recourant n'étant pas décisive pour se prononcer sur la mesure de retrait de sécurité visant l'intéressé (consid. 4b). L'ensemble des éléments du dossier amène à poser un pronostic défavorable quant au comportement routier futur du recourant. Le prononcé d'une mesure de retrait de sécurité du permis de conduire à son encontre se justifie en conséquence (consid. 7). Le délai d'attente de 24 mois imposé au recourant et les conditions posées à la restitution de son droit de conduire échappent à la critique (consid. 8).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en outre les conditions formelles énoncées à l’art. 79 LPA-VD, applicable par renvoi de l’art. 99 LPA-VD. Partant, le recours est recevable.</w:t>
      </w:r>
    </w:p>
    <w:p>
      <w:r>
        <w:rPr>
          <w:b/>
        </w:rPr>
        <w:t>E. 2</w:t>
      </w:r>
    </w:p>
    <w:p>
      <w:r>
        <w:t>Le recourant requiert la mise en œuvre d'une série de mesures d'instruction relatives à l'endroit où le contrôle de vitesse a eu lieu (mesure n° 1), au radar mobile utilisé (mesure n° 2), à l'activité d'ADP, notamment s'agissant d'expertises en cas de délit dit "de chauffard" (mesures n os</w:t>
      </w:r>
    </w:p>
    <w:p>
      <w:r>
        <w:rPr>
          <w:b/>
        </w:rPr>
        <w:t>E. 3</w:t>
      </w:r>
    </w:p>
    <w:p>
      <w:r>
        <w:t>à 5), à la manière dont le SAN procède dans le cas de délit dit "de chauffard" (mesures n os</w:t>
      </w:r>
    </w:p>
    <w:p>
      <w:r>
        <w:rPr>
          <w:b/>
        </w:rPr>
        <w:t>E. 6</w:t>
      </w:r>
    </w:p>
    <w:p>
      <w:r>
        <w:t>et 7), aux titres de spécialisation et formations des signataires du rapport d'expertise concernant le recourant (mesure n° 8) ainsi qu'au déroulement de dite expertise (mesures n os</w:t>
      </w:r>
    </w:p>
    <w:p>
      <w:r>
        <w:rPr>
          <w:b/>
        </w:rPr>
        <w:t>E. 9</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