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CR.2015.0004 vom 12. Februar 2015</w:t>
      </w:r>
    </w:p>
    <w:p>
      <w:r>
        <w:t>VD Tribunal cantonal, 2015-02-12, FR</w:t>
      </w:r>
    </w:p>
    <w:p>
      <w:r>
        <w:rPr>
          <w:b/>
        </w:rPr>
        <w:t xml:space="preserve">Quelle: </w:t>
      </w:r>
      <w:r>
        <w:t>https://mcp.opencaselaw.ch/entscheid/vd_omni_CR.2015.0004</w:t>
      </w:r>
    </w:p>
    <w:p>
      <w:r>
        <w:t>FR: VD_OMNI CR.2015.0004 du 12 février 2015</w:t>
      </w:r>
    </w:p>
    <w:p>
      <w:r>
        <w:t>IT: VD_OMNI CR.2015.0004 del 12 febbraio 2015</w:t>
      </w:r>
    </w:p>
    <w:p>
      <w:pPr>
        <w:pStyle w:val="Heading2"/>
      </w:pPr>
      <w:r>
        <w:t>Regeste</w:t>
      </w:r>
    </w:p>
    <w:p>
      <w:r>
        <w:t>X.________ /Service des automobiles et de la navigation | Le recourant savait qu'il devait exécuter deux mesures de retrait de permis de conduire distinctes, une de quatre mois et une de douze mois, et que cette dernière s'exécuterait au plus tard dès le 13 juin 2014. Même si le SAN lui a rendu son permis de conduire après la fin de la première mesure et ne le lui a pas réclamé par la suite, le recourant n'avait plus le droit de conduire à partir du 13 juin 2014. Confirmation de la décision qui retire le permis de conduire du recourant pour une durée indéterminée, mais au minimum deux ans, aux motifs qu'il a conduit malgré un retrait du permis de conduire et que, dans les dix années précédentes, il s'est déjà vu retirer son permis de conduire à deux reprises pour des infractions graves. Recours de droit public au TF rejeté, dans la mesure de sa recevabilité (ATF 1C_153/2015 du 23 avril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estime que l’autorité intimée a violé le principe de la bonne foi. Selon lui, elle l’a induit en erreur en lui indiquant le 4 novembre 2013 qu’il serait à nouveau en droit de conduire à partir du 26 février 2014, sans faire aucune réserve en rapport avec la précédente communication du 4 septembre 2013 et en rapport avec une autre mesure de retrait du permis de conduire encore à exécuter. a) Découlant directement de l’art. 9 de la Constitution fédérale du 18 avril 1999 (Cst. ; RS 101)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137 I 69 consid. 2.5.1 ; 131 II 627 consid. 6.1). Le droit à la protection de la bonne foi peut être aussi invoqué en présence d'un comportement de l'administration, pour autant que celui-ci soit susceptible d'éveiller chez l'administré une attente ou une espérance légitime ( ATF 129 II 361 consid. 7.1; arrêt du Tribunal fédéral non publié 2C_212/2008 du 3 septembre 2008 consid. 11). La précision que l'attente ou l'espérance doit être "légitime" est une autre façon de dire que l'administré doit avoir eu des raisons sérieuses d'interpréter comme il l'a fait le comportement de l'administration et d'en déduire les conséquences qu'il en a tirées. Tel n'est notamment pas le cas s'il apparaît, au vu des circonstances, qu'il devait raisonnablement avoir des doutes sur la signification du comportement en cause et se renseigner à ce sujet auprès de l'autorité ( ATF 134 I 199 consid. 1.3.1). b) Dans sa lettre du 4 septembre 2013, le SAN a informé X.________ qu’il devrait exécuter la mesure de retrait du permis de conduire de quatre mois au plus tard dès le 19 février 2014 et celle de douze mois au plus tard dès le 13 juin 2014. L’autorité intimée avait ainsi prévu que ces deux mesures pourraient s’exécuter l’une à la suite de l’autre sans interruption. Le recourant a cependant fait usage de la possibilité qui lui était offerte d’exécuter de façon anticipée la mesure de retrait du permis de conduire de quatre mois, en déposant son permis de conduire le 4 novembre 2013. Le SAN l’a alors informé, par lettre datée du même jour, qu’en accord avec sa demande, le retrait du permis de conduire ordonné par décision du 23 août 2013 s’exécuterait du 4 novembre 2013 au 25 février 2014. Tant dans cette lettre que dans celle accompagnant la restitution du permis de conduire à l’intéressé en février 2014, le SAN a précisé à ce dernier que, même si son permis lui était rendu avant le 26 février 2014, il ne pourrait conduire qu’à partir de cette date. Le recourant n’a répondu à aucune de ces lettres. Il n’a notamment pas demandé l’exécution anticipée de la mesure de retrait du permis de conduire de douze mois. Le SAN n’avait dès lors aucun motif d’avancer l’exécution de cette mesure qui devait débuter le 13 juin 2014, ni de conserver le permis de conduire de l’intéressé, qui avait le droit de conduire dans l’intervalle. On ne saurait dès lors reprocher à l’autorité intimée d’avoir adopté un comportement contraire à la bonne foi. Quant au recourant, représenté par un avocat, il savait qu’il devait exécuter deux mesures de retrait du permis de conduire distinctes, une de quatre mois et une de douze mois, et que cette dernière s’exécuterait au plus tard dès le 13 juin 2014. Il lui appartenait dès lors de se soumettre à cette mesure dès cette date et de déposer son permis de conduire auprès du SAN. Il devait savoir, pour l’avoir lu notamment sur la décision de l’autorité intimée du 23 août 2013, que, même si le conducteur omet de déposer son permis de conduire, la mesure entre en force. En définitive, le recourant se prévaut en vain du principe de la bonne foi puisque la date d’exécution de la mesure de retrait du permis de conduire de 12 mois lui était connue et qu’aucun élément de la part du SAN ne pouvait lui laisser croire qu’il était dispensé d’exécuter cette mesure.</w:t>
      </w:r>
    </w:p>
    <w:p>
      <w:r>
        <w:rPr>
          <w:b/>
        </w:rPr>
        <w:t>E. 3</w:t>
      </w:r>
    </w:p>
    <w:p>
      <w:r>
        <w:t>Le recourant, en prenant le volant, alors qu'il était sous le coup d'une mesure du retrait de son permis de conduire, a commis une infraction grave au sens de l’art. 16c al. 1 let.f LCR. Aux termes de l’art. 16c al. 2 let d LCR, après une infraction grave, le permis d'élève 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En l’occurrence, le recourant a déjà été sanctionné à deux reprises pour des infractions graves les 4 décembre 2012 et 23 août 2013, de sorte que le retrait du permis de conduire pour une durée indéterminée, mais d’au minimum 24 mois, prononcée par l’autorité intimée est conforme à la loi. Pour ce qui est de l'expertise aux conclusions favorables de laquelle est subordonnée la levée de la mesure, une telle condition a déjà été jugée conforme à l'art. 17 al. 3 LCR qui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(CR.2014.0025 du 19 novembre 2014 et les réf.cit). La mesure prononcée par le SAN n’est donc pas contraire au droit fédéral, ce que le recourant ne discute du reste pas.</w:t>
      </w:r>
    </w:p>
    <w:p>
      <w:r>
        <w:rPr>
          <w:b/>
        </w:rPr>
        <w:t>E. 4</w:t>
      </w:r>
    </w:p>
    <w:p>
      <w:r>
        <w:t>Le présent arrêt doit être rendu selon la procédure simplifiée de l'art. 82 LPA-VD, sans qu'il y ait lieu de compléter l'instruction. La cause étant ainsi liquidée, la requête de restitution de l’effet suspensif est sans objet. Le recourant ayant été mis au bénéfice de l’ assistance judiciaire, les frais de justice doivent être arrêtés, et une équitable indemnité au conseil juridique désigné d’office pour la procédure, doit être fixée ; les frais et l’indemnité seront supportés par le canton, provisoirement (art. 122 al.1 let. a et b du code de procédure civile du 19 décembre 2008 [CPC ; RS 272], applicable par renvoi de l’art. 18 al. 5 LPA-VD). En effet, la partie qui a obtenu l’ 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 assistance judiciaire en matière civile [RAJ; RSV 211.02.3]) -, elle comprend le montant de 1004 francs 40 (dont 74 francs 40 de TVA) à titre d'honoraires et celui de 79 francs 40 (dont 5 francs 90 de TVA) à titre de débours, ce qui représente un total de 1'083 francs 80, TVA comprise, conformément à ce qui ressort de la liste des opérations produite par le conseil d'office.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