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CR.2015.0002 vom 24. März 2015</w:t>
      </w:r>
    </w:p>
    <w:p>
      <w:r>
        <w:t>VD Tribunal cantonal, 2015-03-24, FR</w:t>
      </w:r>
    </w:p>
    <w:p>
      <w:r>
        <w:rPr>
          <w:b/>
        </w:rPr>
        <w:t xml:space="preserve">Quelle: </w:t>
      </w:r>
      <w:r>
        <w:t>https://mcp.opencaselaw.ch/entscheid/vd_omni_CR.2015.0002</w:t>
      </w:r>
    </w:p>
    <w:p>
      <w:r>
        <w:t>FR: VD_OMNI CR.2015.0002 du 24 mars 2015</w:t>
      </w:r>
    </w:p>
    <w:p>
      <w:r>
        <w:t>IT: VD_OMNI CR.2015.0002 del 24 marzo 2015</w:t>
      </w:r>
    </w:p>
    <w:p>
      <w:pPr>
        <w:pStyle w:val="Heading2"/>
      </w:pPr>
      <w:r>
        <w:t>Regeste</w:t>
      </w:r>
    </w:p>
    <w:p>
      <w:r>
        <w:t>X.________ /Service des automobiles et de la navigation | Automobiliste, qui s'est penché dans l'habitacle de son véhicule afin de récupérer son téléphone portable tombé sur le plancher, ce qui l'a fait quitter la route et heurter un câble métallique soutenant un poteau électrique bordant la chaussée. Infraction grave au sens de l'art. 16c al. 1 let. a LCR. Le recourant s'étant déjà vu retirer son permis de conduire au cours des cinq dernières années en raison d'une infraction grave, il tombe sous le coup de l'art. 16c al. 2 let. c LCR et doit être sanctionnée d'un retrait de douze mois au minimum. S'en tenant à cette durée minimale, la décision attaquée ne peut qu'être confirmée.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ne conteste pas avoir enfreint l'art. 31 al. 1 LCR, qui dispose que le conducteur devra rester constamment maître de son véhicule de façon à pouvoir se conformer aux devoirs de la prudence, ainsi que l'art. 3 al. 1 de l'ordonnance fédérale du 13 novembre 1962 sur les règles de la circulation routière (OCR; RS 741.11), qui prévoit que le conducteur vouera son attention à la route et à la circulation, qu'il évitera toute occupation qui rendrait plus difficile la conduite du véhicule et qu'il veillera à ce que son attention ne soit distraite notamment, ni par un appareil reproducteur de son ni par un quelconque système d'information ou de communication. Il soutient en revanche que l'infraction commise ne saurait être qualifiée de grave, comme l'a retenu l'autorité intimée. 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p. 452; 135 II 138 consid. 2.2.2 p. 141; TF, arrêt 6A.16/2006 du 6 avril 2006 consid. 2.1.1 in JdT 2006 I 442). L'infraction grave au sens de l'art. 16c al.1 let. a LCR est ainsi subordonnée à la double gravité de la faute commise et de la mise en danger objective (Mizel, op. cit. p. 395). b) Selon la jurisprudence relative à l’art. 90 al.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 3.2 et les références citées). A été considéré comme grave le fait, pour un conducteur, de prendre une bouteille d'eau qui avait glissé entre le siège passager et la portière (TF 1C_188/2010 du 6 septembre 2010 annulant l'arrêt CR.2009.0086 du 18 mars 2010), de boire de l'eau à la bouteille (arrêt CR.2012.0080 du 31 janvier 2013), de se pencher pour ramasser un document qui se trouvait dans son sac à main, sur le sol côté passager (TF 1C_71/2008 du 31 mars 2008 annulant l'arrêt CR.2007.0319 du 28 janvier 2008), de changer un CD (arrêt CR.2009.0061 du 12 mars 2010), de se baisser pour ramasser un téléphone portable tombé à ses pieds (TF 1C_299/2007 du 11 janvier 2008; arrêt CR.2007.0103 du 20 août 2007), de porter le regard sur l'autoradio (arrêt CR.2009.0043 du 30 septembre 2009), de chercher un CD dans la boîte à gants (arrêt CR.2007.0134 du 4 août 2008), de manipuler l’autoradio et de régler la climatisation (arrêt CR.2006.0483 du 17 avril 2007) ou d’allumer une cigarette (arrêt CR.2011.0077 du 30 mars 2012), lorsque ces activités ont conduit à ce que l'attention du conducteur soit détournée de la route. c) En l'espèce, le recourant s'est penché dans l'habitacle de son véhicule afin de récupérer son téléphone portable qui était tombé sur le plancher. Il a ainsi détourné son attention du trafic et pris le risque que son véhicule puisse dévier de sa trajectoire, ce qui est finalement arrivé, puisqu'il a quitté la route et heurté un câble métallique soutenant un poteau électrique bordant la chaussée. L'accident aurait pu être lourd de conséquences. Par son comportement, le recourant a commis une faute grave et mis sérieusement en danger la sécurité d'autrui. Les conditions de l'art. 16c al. 1 er let. a LCR sont par conséquent réunies (voir pour un cas semblable, TF 1C_299/2007 précité consid. 2.2). Les explications du recourant selon lesquelles il se serait penché pour récupérer son appareil après avoir pris la peine de vérifier qu'aucun autre usager de la route ni piéton ne se trouvait à proximité, ne lui sont d'aucun secours, au contraire. Ces circonstances rendent en effet d'autant moins excusable sa faute, puisque si on le suit, l'intéressé aurait parfaitement pu s'arrêter pour récupérer son téléphone portable. Le recourant se prévaut par ailleurs en vain de l'arrêt du Tribunal fédéral 1C_813/2013 du 9 janvier 2014, dans lequel notre Haute cour a qualifié de moyenne la faute d'un automobiliste qui circulait de nuit, sur une route à fort passage, avec une lunette arrière partiellement dégivrée et des vivres latérales totalement givrées. En effet, l'infraction commise par l'automobiliste concerné, qui n'avait pas causé d'accident, portait sur une violation de l'art. 29 LCR, qui prévoit à sa première phrase que les véhicules ne peuvent circuler que s'ils sont en parfait état de fonctionnement et répondent aux prescriptions, et non de l'art. 31 al. 1 LCR en relation avec l'art. 3 al. 1 OCR comme dans le cas d'espèce. On ajoutera enfin que le fait que l'ordonnance pénale du 2 juillet 2014 retienne une violation simple des règles de la circulation au sens de l'art. 90 al. 1 LCR n'est pas déterminant pour l'issue du présent recours. En effet, si les faits retenus au pénal lient en principe l'autorité et le juge administratifs, il en va différemment des questions de droit, en particilier de l'appréciation de la faute et de la mise en danger (ATF 139 II 95 consid. 3.2 p. 101 s.). A cela s'ajoute que la décision pénale ne tient manifestement pas compte de la jurisprudence rappelée ci-dessus.</w:t>
      </w:r>
    </w:p>
    <w:p>
      <w:r>
        <w:rPr>
          <w:b/>
        </w:rPr>
        <w:t>E. 3</w:t>
      </w:r>
    </w:p>
    <w:p>
      <w:r>
        <w:t>Il reste à examiner la quotité de la mesure prononcée. a) Selon l'art. 16c al. 2 LCR, après une infraction grave, le permis d'élève conducteur ou le permis de conduire est retiré pour trois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b) En l'espèce, le recourant s'est vu retirer son permis de conduire au cours des cinq dernières années en raison d'une infraction grave. Il tombe ainsi sous le coup de l'art. 16c al. 2 let. c LCR qui prévoit un retrait d'une durée de douze mois au minimum. S'en tenant à cette durée minimale, la décision attaquée ne peut qu'être confirmée.</w:t>
      </w:r>
    </w:p>
    <w:p>
      <w:r>
        <w:rPr>
          <w:b/>
        </w:rPr>
        <w:t>E. 4</w:t>
      </w:r>
    </w:p>
    <w:p>
      <w:r>
        <w:t>Les considérants qui précèdent conduisent au rejet du recours et à la confirmation de la décision attaquée. a) Compte tenu de ses ressources, le recourant a été mis au bénéfice de l'assistance judiciaire par décision du 7 janvier 2015.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judicaire en matière civile – RAJ; RSV 211.02.3 – applicable par renvoi de l'art. 18 al. 5 LPA-VD). En l'occurrence, l'indemnité de Me Sébastien Thüler peut être arrêtée compte tenu de la liste des opérations et débours produite à 530 fr. 30, soit 441 fr. d'honoraires, 50 fr. de débours et de 39 fr. 30 de TVA (8%), montant que l'on peut arrondir à 535 francs. b) Les frais de justice, arrêtés à 600 fr. (art. 4 al. 1, 2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w:t>
      </w:r>
    </w:p>
    <w:p>
      <w:r>
        <w:rPr>
          <w:b/>
        </w:rPr>
        <w:t>E. 5</w:t>
      </w:r>
    </w:p>
    <w:p>
      <w:r>
        <w:t>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