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CR.2014.0099 vom 4. November 2015</w:t>
      </w:r>
    </w:p>
    <w:p>
      <w:r>
        <w:t>VD Tribunal cantonal, 2015-11-04, FR</w:t>
      </w:r>
    </w:p>
    <w:p>
      <w:r>
        <w:rPr>
          <w:b/>
        </w:rPr>
        <w:t xml:space="preserve">Quelle: </w:t>
      </w:r>
      <w:r>
        <w:t>https://mcp.opencaselaw.ch/entscheid/vd_omni_CR.2014.0099</w:t>
      </w:r>
    </w:p>
    <w:p>
      <w:r>
        <w:t>FR: VD_OMNI CR.2014.0099 du 4 novembre 2015</w:t>
      </w:r>
    </w:p>
    <w:p>
      <w:r>
        <w:t>IT: VD_OMNI CR.2014.0099 del 4 novembre 2015</w:t>
      </w:r>
    </w:p>
    <w:p>
      <w:pPr>
        <w:pStyle w:val="Heading2"/>
      </w:pPr>
      <w:r>
        <w:t>Regeste</w:t>
      </w:r>
    </w:p>
    <w:p>
      <w:r>
        <w:t>X.________ /Service des automobiles et de la navigation | Confirmation du retrait de permis de conduire d'une durée de trois mois prononcé à l'encontre d'un conducteur n'ayant pas respecté ses devoirs en cas d'accident après être entré en collision avec un autre automobiliste, et qui a ensuite refusé de se soumettre aux mesures auxquelles souhaitaient procéder les gendarmes venus à son domicile pour constater son état d'incapacité de conduire. En application de l'art. 16c al. 1 let. d LCR, la personne qui s'oppose à un alcootest qui a été ordonné commet une infraction grave, justifiant un retrait de permis de conduire pour une durée de trois mois au minimum conformément à l'art. 16c al. 2 let. a LCR (consid. 4 et 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Dans la mesure où la décision attaquée se fonde sur l’ordonnance pénale du 23 juillet 2013, entrée en force, il y a lieu d’examiner si le tribunal peut s’écarter des faits retenus dans la décision pénale.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précité consid. 2.3.2 p. 368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1C_495/2013 du 7 janvier 2014 consid. 6.1; 1C_280/2012 du 28 juin 2013 consid. 2.1; 1C_353/2010 du 12 janvier 2011 consid. 2.1 et les réf. cit.). b) En l'espèce, le recourant était représenté par un avocat lorsqu'il a été informé de la suspension de la procédure administrative jusqu'à l'issue de la procédure pénale. Le 23 juillet 2013, le juge pénal a rendu une ordonnance condamnant le recourant, à laquelle ce dernier a finalement renoncé à s'opposer. Le recourant n'invoque à présent aucun fait qu'il n'aurait pas porté à la connaissance du juge pénal, et il n'existe pas davantage de preuve nouvelle. Les faits retenus par le juge pénal ne se heurtent du reste pas aux éléments ressortant des pièces du dossier. Dans ces conditions, il n'y a dès lors pas de motif de s'écarter des faits établis sur le plan pénal.</w:t>
      </w:r>
    </w:p>
    <w:p>
      <w:r>
        <w:rPr>
          <w:b/>
        </w:rPr>
        <w:t>E. 3</w:t>
      </w:r>
    </w:p>
    <w:p>
      <w:r>
        <w:t>Le recourant soutient que l'accident survenu le 28 mars 2013 était dû plus à la configuration particulière du lieu où il s'est produit, où la chaussée était rétrécie, que d'une attitude fautive de sa part. a) Selon l'art. 34 al. 1 LCR, les véhicules tiendront leur droite et circuleront, si la route est large, sur la moitié droite de celle-ci; ils longeront le plus possible le bord droit de la chaussée, en particulier s'ils roulent lentement ou circulent sur un tronçon dépourvu de visibilité. L'art. 7 al. 1 OCR précise que le conducteur tiendra sa droite; il n'est pas tenu à cette règle sur les routes bombées ou difficiles et dans les tournants à gauche lorsque la visibilité est bonne et que la circulation venant en sens inverse ou de derrière n'est pas entravée. b) En l'occurrence, l'ordonnance pénale se fonde sur le rapport de police, notamment sur les déclarations du conducteur de l'autre véhicule impliqué lors des faits et sur les constatations opérées par les agents de police qui sont intervenus sur place. S'agissant de la position des véhicules, les agents ont relevé que le véhicule de l'autre conducteur était immobilisé sur le bord droit de la chaussée, peu avant le rétrécissement de la route, à quelques 40 cm du bord de sa voie de circulation, et que l'espace entre ce véhicule et le bord gauche de la route était de 3 m, ce qui aurait été suffisant pour permettre au recourant de croiser sans encombre; en outre, une trace de passage correspondant au profil des pneumatiques du véhicule se remarquait sur la bande herbeuse bordant la droite de la chaussée, ce qui tendait à confirmer que l'accident s'était bien déroulé selon les déclarations du conducteur de ce véhicule, contredisant la version des faits soutenue par le recourant (cf. rapport de police du 25 avril 2013, pp. 3 et 5). Au vu des faits précités, le juge pénal a considéré que le recourant ne circulait pas suffisamment à droite lorsqu'il a heurté le côté gauche de l'autre véhicule qui venait de s'immobiliser sur le côté droit de sa voie de circulation, quelque 2 m avant le rétrécissement de la route. Il n'y a pas lieu de remettre en cause cette appréciation au regard des pièces du dossier; en particulier, il ne ressort de celles-ci aucun élément susceptible d'entraîner une diminution de la faute commise par le recourant. C’est dès lors sans prêter le flanc à la critique que le SAN a retenu que le recourant avait contrevenu aux règles de la circulation routière susmentionnées.</w:t>
      </w:r>
    </w:p>
    <w:p>
      <w:r>
        <w:rPr>
          <w:b/>
        </w:rPr>
        <w:t>E. 3.1</w:t>
      </w:r>
    </w:p>
    <w:p>
      <w:r>
        <w:t>ad art. 91a LCR, p. 923 s, et les références citées). b) En l'espèce, il ressort de l'ordonnance pénale que le recourant a poursuivi sa route après avoir heurté une autre voiture. Il s'est ainsi soustrait à ses devoirs de conducteur impliqué dans un accident (art. 51 al. 1 LCR) ainsi qu'au contrôle de son état physique. Parvenu à son domicile, le recourant reconnaît avoir consommé une boisson alcoolisée. Peu de temps après, sans ouvrir sa porte d'entrée aux agents de police venus l'interpeller, il s'est adressé à ces derniers au travers d'une lucarne dont la porte était équipée. Informé par ceux-ci de leur intention de le soumettre à un contrôle de son état physique, il a refusé d'ouvrir sa porte et de collaborer aux mesures d'investigation. Il ressort encore du dossier que, lors de son interpellation, les gendarmes ont constaté que le véhicule du recourant portait des dommages du côté gauche, notamment au niveau du pare-chocs, de l'aile avant ainsi que du rétroviseur, auquel il manquait le cache. Un cache de couleur identique a été retrouvé sur le lieu de l'accident. Les gendarmes ont également relevé que le recourant sentait l'alcool et avait des difficultés d'élocution. Ces indices autorisaient les policiers à entretenir des doutes quant à une éventuelle ébriété de l'intéressé, justifiant l'investigation de l'état d'incapacité du conducteur en lien avec l'accident survenu plus tôt. Le recourant, qui ne pouvait ignorer avoir heurté un autre véhicule peu avant, a bien refusé de collaborer, peu importe que les agents ne lui aient pas présenté d'emblée un éthylomètre. Son motif de refus, soit un état de fatigue et le souhait que les gendarmes le laissent tranquille, relève de la pure commodité personnelle et ne constitue manifestement pas une raison susceptible de justifier le refus de se soumettre à la mesure d'investigation en cause (pour des exemples de motifs admissibles, cf. Yvan Jeanneret, op. cit., n. 3.2 ad art. 91a LCR, p. 926, et les références citées). Le recourant fait par ailleurs valoir que les investigations tendant à mesurer son alcoolémie auraient été dépourvues de pertinence dès lors qu'il avait consommé peu de temps auparavant à son domicile une boisson alcoolisée. Cet argument tombe toutefois à faux, la constatation de l'alcoolémie d'un conducteur au moment d'un accident de la circulation n'étant pas rendue d'emblée impossible par la consommation ultérieure d'alcool, le taux d'alcool au moment critique pouvant par exemple être déterminé en effectuant une correction des valeurs mesurées par prise de sang en fonction de l'alcool consommé entre les faits et la prise de sang (cf. CR.2012.0011 du 16 avril 2012). Cela étant, par son comportement, le recourant a bien réalisé intentionnellement une opposition à une mesure visant à constater l'état d'incapacité de conduire au sens de l'art. 16c al. 1 let. d LCR. L'appréciation de l'autorité intimée retenant la réalisation de cette infraction doit ainsi être confirmée.</w:t>
      </w:r>
    </w:p>
    <w:p>
      <w:r>
        <w:rPr>
          <w:b/>
        </w:rPr>
        <w:t>E. 4</w:t>
      </w:r>
    </w:p>
    <w:p>
      <w:r>
        <w:t>Le recourant conteste la gravité de sa dérobade à une prise de sang qui n'aurait pas été délibérée si bien que sa faute serait légère en définitive. a) aa) La loi fait la distinction entre les cas de peu de gravité (art. 16a LCR), les cas de gravité moyenne (art. 16b LCR) et les cas graves (art. 16c LCR). Selon l'art. 16c al. 1 let. d LCR,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commet une infraction grave. bb) Selon la jurisprudence relative à l'art. 91a al. 1 LCR qui régit le volet pénal de l'opposition ou de la dérobade à une prise de sang, l'opposition est le refus, même par simple résistance passive ou par un refus verbal, de se soumettre à la mesure d'investigation de l'état d'incapacité de conduire ordonnée par l'autorité compétente (TF 6B_229/2012 du</w:t>
      </w:r>
    </w:p>
    <w:p>
      <w:r>
        <w:rPr>
          <w:b/>
        </w:rPr>
        <w:t>E. 5</w:t>
      </w:r>
    </w:p>
    <w:p>
      <w:r>
        <w:t>Après une infraction grave, le permis de conduire est retiré pour trois mois au minimum (art. 16c al. 2 let. a LCR). La durée minimale du retrait ne peut être réduite (art. 16 al. 3 LCR). En l’occurrence, la durée du retrait de permis ne saurait être mise en cause par le recourant puisque l’autorité intimée a prononcé à son encontre un retrait de permis d’une durée correspondant au minimum légal prévu par le législateur, soit trois mois.</w:t>
      </w:r>
    </w:p>
    <w:p>
      <w:r>
        <w:rPr>
          <w:b/>
        </w:rPr>
        <w:t>E. 6</w:t>
      </w:r>
    </w:p>
    <w:p>
      <w:r>
        <w:t>Il résulte des considérants qui précèdent que le recours doit être rejeté et la décision attaquée confirmée. La date limite fixée par la décision attaquée pour l’exécution du retrait de permis étant aujourd’hui échue, il appartiendra au SAN de fixer un nouveau délai au recourant pour le dépôt de son permis de conduire.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