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CR.2014.0090 vom 10. Juni 2015</w:t>
      </w:r>
    </w:p>
    <w:p>
      <w:r>
        <w:t>VD Tribunal cantonal, 2015-06-10, FR</w:t>
      </w:r>
    </w:p>
    <w:p>
      <w:r>
        <w:rPr>
          <w:b/>
        </w:rPr>
        <w:t xml:space="preserve">Quelle: </w:t>
      </w:r>
      <w:r>
        <w:t>https://mcp.opencaselaw.ch/entscheid/vd_omni_CR.2014.0090</w:t>
      </w:r>
    </w:p>
    <w:p>
      <w:r>
        <w:t>FR: VD_OMNI CR.2014.0090 du 10 juin 2015</w:t>
      </w:r>
    </w:p>
    <w:p>
      <w:r>
        <w:t>IT: VD_OMNI CR.2014.0090 del 10 giugno 2015</w:t>
      </w:r>
    </w:p>
    <w:p>
      <w:pPr>
        <w:pStyle w:val="Heading2"/>
      </w:pPr>
      <w:r>
        <w:t>Regeste</w:t>
      </w:r>
    </w:p>
    <w:p>
      <w:r>
        <w:t>X.________ /Service des automobiles et de la navigation | Le recourant, qui circulait sur la voie de droite d'une autoroute à trois pistes, a dépassé par la droite deux véhicules roulant sur la première voie de dépassement, avant de se rabattre devant ceux-ci. Il se trouvait alors au niveau d'un panneau de présélection. Dans cette zone, les dépassements par la droite étaient, compte tenu des lieux de destination différents figurant sur le panneau en question, autorisés. Recours admis et décision du SAN prononçant un retrait de permis d'une durée de trois mois pour dépassement par la droite constitutif d'une infraction grave annulée.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fait valoir que l'état de faits retenu par l'autorité intimée doit être précisé et corrigé pour correspondre à ce qui ressort de l'enregistrement vidéo des faits. Il allègue qu'il circulait sur la première voie de dépassement lorsqu'il a dépassé deux véhicules par la gauche, en utilisant la seconde voie de dépassement. Il s'était ensuite rabattu sur la voie de droite. C'est alors qu'il s'était rendu compte du fait " qu'il se trouvait sur la mauvaise voie de présélection (direction Bâle) et qu'il devait en conséquence changer de voie pour prendre la direction de Berne .". Comme deux véhicules se trouvaient à sa hauteur, sur sa gauche, il avait ralenti afin de pouvoir se déporter sur la voie du milieu, derrière ceux-ci. "Réalisant que ces voitures avançaient trop lentement,  il n' [avait] pas eu d'autre choix – afin de ne pas gêner la circulation, voire mettre d'autres usagers de la route en danger en freinant brusquement - que de les devancer avant de se rabattre devant eux afin de changer de présélection ". 1 ) Il sied de préciser qu'en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loi fédérale du 19 décembre 1958 sur la circulation routière ([LCR ; RS. 741.01] ; art. 90 ss)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(procédure de l’ordonnance pénale), même si la décision pénale se fonde uniquement sur le rapport de gendarmerie.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Si les faits retenus au pénal lient en principe l'autorité et le juge administratifs, il en va différemment des questions de droit, en particulier de l'appréciation de la faute et de la mise en danger (TF 1C_353/2010 du 12 janvier 2011 consid. 2.1; 1C_274/2010 du 7 octobre 2010 consid. 2.1; 1C_585/2008 du 14 mai 2009 consid. 3.1; ATF 120 Ib 312 consid. 4b; 115 Ib 163 consid. 2a; 102 Ib 193 consid. 3c). En l'occurrence, le tribunal de céans ne s'écartera en substance pas des faits retenus au pénal. Il se contentera de les préciser de manière à pouvoir procéder à l'appréciation juridique requise sous l'angle des dispositions de droit administratif applicables. 2) Le recourant soutient que l'infraction commise devrait tout au plus être qualifiée de moyennement grave d'une part et faire l'objet d'un retrait de permis d'une durée d'un mois tout au plus d'autre part. 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cf. arrêts du TF 1C_766/2013 du 1 er mai 2014 consid. 3.1;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consid. 3.2; arrêt du TF 6b_677/2014 du 20 novembre 2014 consid. 2.1; arrêts CR.2014.0061 du 9 octobre 2014; CR.2012.0004 du 8 mars 2012 et CR.2010.0076 du 7 juin 2011, ainsi que les références citées). c) Aux termes de l'art. 35 al. 1 LCR, les dépassements se font par la gauche. Un conducteur peut toutefois devancer d'autres véhicules par la droite sur autoroute, sur les tronçons servant à la présélection, pour autant que des lieux de destination différents soient indiqués pour chacune des voies (art. 36 al. 5 let. b OCR). En revanche, sur ces  tronçons, il est interdit de changer de voie pour effectuer un dépassement, à moins que les lieux de destination indiqués sur les voies empruntées par le véhicule dépassé ne soient les mêmes (art. 13 al. 3 OCR).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d) En l’espèce, le SAN a retenu que le recourant avait commis une infraction grave au sens de l’art. 16c al. 1 let. a LCR, soit une infraction subordonnée à la double gravité de la faute commise et de la mise en danger objective. La vision de la vidéo déposée en cause par le recourant et la consultation du site www.maps.google.ch permettent de constater que le recourant, qui circulait sur la deuxième voie de dépassement, derrière le véhicule de police banalisé, a dépassé deux véhicules roulant sur la première voie de dépassement avant de se rabattre sur la voie de droite peu après le panneau de ramification placé à 1600 mètres de cette dernière et avant le premier indicateur de direction avancé destiné aux ramifications placé à 1000 mètres de celle-ci (comprenant un panneau mentionnant notamment "Bern" au dessus de la seconde voie de dépassement, un panneau de ramification au dessus de la première voie de dépassement et un panneau mentionnant notamment "Basel" au-dessus de la voie de droite). Le recourant, qui circulait sur cette voie, s'est trouvé à hauteur d'un véhicule roulant sur la première voie de dépassement lorsqu'il a atteint le deuxième indicateur de direction avancé destiné aux ramifications placé à 600 mètres de la ramification (comportant un panneau mentionnant notamment "Bern" au dessus de la seconde voie de dépassement, un panneau de ramification au dessus de la première voie de dépassement et un panneau mentionnant notamment "Basel" au-dessus de la voie de droite). Le recourant a alors ralenti, puis finalement dépassé le véhicule en question et celui qui le précédait avant de se rabattre devant ceux-ci, au niveau du panneau de présélection (comportant un panneau mentionnant notamment "Bern" et surplombant la deuxième voie de dépassement et la moitié droite de la première voie de dépassement d'une part et un panneau mentionnant notamment "Basel" et surplombant la voie de droite et la moitié gauche de la première voie de dépassement). Il sied de préciser que plus loin, la voie du milieu se dédouble, de sorte que deux pistes partent à gauche en direction de Berne et deux piste à droite en direction de Bâle. Il apparaît ainsi que le recourant se trouvait dans une zone de présélection dans laquelle les dépassements par la droite étaient, compte tenu des lieux de destination différents figurant sur le panneau de présélection, autorisés. Il faut en outre relever que celui-ci circulait sur la voie de droite – et non sur la première voie de dépassement, derrière les véhicules dépassés, ou sur la seconde voie de dépassement – depuis environ un kilomètre lorsqu’il a commencé la manœuvre litigieuse. Il n'apparaît enfin pas que, par son comportement, le recourant aurait créé un danger quelconque. Aucune faute ne saurait partant lui être reprochée.</w:t>
      </w:r>
    </w:p>
    <w:p>
      <w:r>
        <w:rPr>
          <w:b/>
        </w:rPr>
        <w:t>E. 3</w:t>
      </w:r>
    </w:p>
    <w:p>
      <w:r>
        <w:t>Il résulte des considérants qui précèdent que le recours doit être admis et la décision de l'autorité intimée annulée. Vu le sort du recours, le présent arrêt est rendu sans frais. Le recourant, qui s'est fait assister à d'un mandataire professionnel, a droit à l'allocation de dépens, à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