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CR.2014.0077 vom 12. Mai 2015</w:t>
      </w:r>
    </w:p>
    <w:p>
      <w:r>
        <w:t>VD Tribunal cantonal, 2015-05-12, FR</w:t>
      </w:r>
    </w:p>
    <w:p>
      <w:r>
        <w:rPr>
          <w:b/>
        </w:rPr>
        <w:t xml:space="preserve">Quelle: </w:t>
      </w:r>
      <w:r>
        <w:t>https://mcp.opencaselaw.ch/entscheid/vd_omni_CR.2014.0077</w:t>
      </w:r>
    </w:p>
    <w:p>
      <w:r>
        <w:t>FR: VD_OMNI CR.2014.0077 du 12 mai 2015</w:t>
      </w:r>
    </w:p>
    <w:p>
      <w:r>
        <w:t>IT: VD_OMNI CR.2014.0077 del 12 maggio 2015</w:t>
      </w:r>
    </w:p>
    <w:p>
      <w:pPr>
        <w:pStyle w:val="Heading2"/>
      </w:pPr>
      <w:r>
        <w:t>Regeste</w:t>
      </w:r>
    </w:p>
    <w:p>
      <w:r>
        <w:t>X.________/Service des automobiles et de la navigation | Recours d'un conducteur contre une décision sur réclamation confirmant le retrait de son permis de conduire pour une durée de douze mois. Dans l'hypothèse la plus favorable au recourant, il convient de retenir qu'il a suivi le véhicule qui le précédait à une distance de 15 mètres, à 120 km/h (correspondant à un intervalle de 0.45 secondes), ceci sur une distance de 700 mètres; compte tenu des circonstances et de la jurisprudence, c'est à juste titre que l'infraction a été qualifiée de grave. La durée du retrait de permis de douze mois, qui correspond à la sanction minimale compte tenu de la récidive, ne peut pour le reste qu'être confirmée. Rejet du recours et confirmation de la décision attaquée.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a sollicité l’audition des gendarmes auteurs du rapport du 15 juin 2014.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124 I 49 et les réf. cit.). Ce droit suppose notamment que le fait à prouver soit pertinent et que le moyen de preuve proposé soit apte et nécessaire à prouver ce fait. Le droit d'être entendu découlant de l'art. 29 al. 2 Cst. (Constitution fédérale du 18 avril 1999;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l'espèce, selon le rapport de police, le recourant a admis lui-même le bien-fondé de l’intervention. Il n’a pas plus contesté les faits devant l’autorité de poursuite pénale, quand bien même le SAN avait expressément attiré son attention sur la pratique qui consiste, pour l’autorité administrative, à considérer comme constant l’état de fait retenu par le jugement pénal. On ne discerne au surplus pas ce que l’audition des gendarmes pourrait apporter, dès lors qu’il est douteux que ces derniers reviennent sur le contenu de leur rapport. Le tribunal s'estime ainsi suffisamment renseigné par le dossier, sans qu'il n'apparaisse nécessaire de donner suite aux mesures d'instruction sollicitées par le recourant. Le litige porte sur la qualification de l'infraction commise par le recourant le 15 juin 2014.</w:t>
      </w:r>
    </w:p>
    <w:p>
      <w:r>
        <w:rPr>
          <w:b/>
        </w:rPr>
        <w:t>E. 2.1</w:t>
      </w:r>
    </w:p>
    <w:p>
      <w:r>
        <w:t>et les références). d) En l'espèce, pour qualifier l'infraction commise le 15 juin 2014, l'autorité intimée s'en est tenue aux faits tels qu'ils ont été établis par le juge pénal et tels qu’ils ressortent du rapport de la gendarmerie. Le recourant ne remet pas en cause les faits tels qu’ils sont relatés, mais relève que l'autorité administrative aurait dû compléter l'état de fait s'agissant des circonstances de l'infraction : il aurait ainsi fallu tenir compte de la météo, de la visibilité, du tracé du tronçon, de l'état de la chaussée et du véhicule pour qualifier l'infraction. Dans sa version la plus favorable, il faut retenir l'existence d'une distance de 15 mètres et d'une vitesse de 120 km/h, hypothèses toutes deux les plus favorables au recourant, le tout sur une distance de 700 mètres. Il suit de ce qui précède que l'intervalle de temps entre les deux véhicules était de 0.45 seconde. La distance entre le véhicule du recourant et celui qui le précédait était donc insuffisante au regard de l'art. 12 al. 1 OCR et de la jurisprudence y relative, qui fixe un seuil minimal de 0,8 voire 0.6 secondes. Laisser une distance aussi faible à 120 km/h sur 700 mètres crée un danger abstrait accru et constitue, objectivement une violation grave des règles de la circulation routière. Le recourant aurait, en effet, été incapable d'éviter une collision si le véhicule qui le précédait avait subitement freiné. A cette allure, un choc entre deux véhicules peut avoir des conséquences très graves. Réduire la distance par rapport au véhicule qui précède n'a pas d'autre effet que d'accroître le danger de collision en chaîne. De plus, il n'est pas nécessaire qu'un résultat dommageable se produise pour que l'infraction grave soit consommée; il suffit que le conducteur mette sérieusement en danger la sécurité d'autrui ou en prenne le risque, ce qui était le cas en l'occurrence. La durée importante pendant laquelle le recourant a suivi, en violation de l'art. 34 al. 4 LCR et 12 al. 1 OCR, le véhicule qui le précédait ne dénote pas un comportement fortuit. Sa manoeuvre visait à forcer le conducteur précédent à accélérer ou à se rabattre sur la voie de droite, ce qui ne pouvait être entrepris sans risque concret, compte tenu de la vitesse déjà élevée des deux véhicules ainsi que la présence de véhicules circulant plus lentement sur la voie de droite. Ayant consciemment choisi de maintenir une distance aussi faible le séparant du véhicule qui le précédait, le recourant remplit aussi les conditions subjectives de la violation grave des règles de la circulation routière.</w:t>
      </w:r>
    </w:p>
    <w:p>
      <w:r>
        <w:rPr>
          <w:b/>
        </w:rPr>
        <w:t>E. 3</w:t>
      </w:r>
    </w:p>
    <w:p>
      <w:r>
        <w:t>a) La loi fédérale du 19 décembre 1958 sur la circulation routière (LCR; RS 741.01) distingue les infractions selon leur gravité.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A teneur de l'art. 16c al. 2 let. c LCR, le permis d'élève conducteur ou le permis de conduire est retiré, après une infraction grave, pour douze mois au minimum si, au cours des cinq années précédentes, le permis a été retiré une fois en raison d'une infraction grave ou à deux reprises en raison d'infractions moyennement graves. Dans ce cadre, le délai de récidive est compté à partir du jour où le conducteur est remis au bénéfice du droit de conduire à l'issue de l'exécution de la mesure de retrait ( 1C_731/2013 du 10 décembre 2013 et les réf cités: 1C_520/2013 du 17 septembre 2013 consid. 2.2, 1C_452/2011 du 21 août 2012 consid. 3.8, 1C_106/2011 du 7 juin 2011 consid. 2.3 und 1C_180/2010 du 22 septembre 2010 consid. 2; cf pour l'ancien droit  ATF 119 Ib 154 consid. 2b p. 157; pour le retrait du permis à l'essai: ATF136 II 447 consid.. 5.2 p. 455). b) Selon l'art. 34 al. 4 LCR, le conducteur observera une distance suffisante envers tous les usagers de la route, notamment pour croiser, dépasser et circuler de front ou lorsque des véhicules se suivent. L'art. 12 al. 1 de l'ordonnance fédérale du 13 novembre 1962 sur les règles de la circulation routière (OCR; RS 741.11) prévoit en particulier que lorsque des véhicules se suivent, le conducteur se tiendra à une distance suffisante du véhicule qui le précède, afin de pouvoir s'arrêter à temps en cas de freinage inattendu. Il n'existe pas de règle absolue sur ce qu'il faut entendre par "distance suffisante"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infractions, simple, moyennement grave ou grave, à la LCR. La règle des deux secondes ou du "demi compteur" (correspondant à un intervalle de 1,8 seconde) sont des standards minima habituellement reconnus ( ATF 131 IV 133 consid. 3.1). Prenant en compte la pratique allemande et la doctrine, la jurisprudence a considéré que le cas pouvait être qualifié de grave lorsque l'intervalle entre les véhicules était inférieur à 0,8, voire à 0,6 seconde ( ATF 131 IV 133 précité, consid. 3.2.2 et les références; arrêt 1C_554/2013 du 17 septembre 2013 consid. 2.2). Ainsi la faute a-t-elle été qualifiée de grave notamment dans le cas d'un automobiliste qui, sur une distance de 800 m environ et à une vitesse supérieure à 100 km/h, avait suivi le véhicule le précédant sur la voie de gauche de l'autoroute avec un écart de moins de 10 m, correspondant à 0,3 seconde de temps de parcours ( ATF 131 IV 133 précité), ou qui, à une vitesse de 100 km/h, avait suivi le véhicule précédent sur 330 m, à une distance de 10 m (arrêt 1C_356/2009 du 12 février 2010), ou encore qui avait circulé à une vitesse de 100 km/h environ, sur 700 m, à une distance située entre 7 et 10 m du véhicule le précédant (arrêt 1C_7/2010 du 11 mai 2010), ou enfin qui, à la même vitesse, avait suivi sur 500 m un véhicule à une distance variant entre 5 et 10 m (arrêt 1C_274/210 du 7 octobre 2010). Dans le même sens, la cour de céans a notamment qualifié de grave la faute d'un automobiliste qui avait suivi sur plusieurs centaines de mètres, sur la voie de gauche de l'autoroute, le véhicule qui le précédait, à une distance d'environ 10 m et à une vitesse de 120 km/h (arrêt CR.2012.0019 du 10 juillet 2012). c)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une telle situation, la personne impliquée est tenue, en vertu des règles de la bonne foi, de faire valoir ses moyens dans le cadre de la procédure pénale, le cas échéant en épuisant les voies de recours à sa disposition, et ne peut attendre la procédure administrative pour exposer ses arguments (ATF 123 II 97 consid. 3c/aa; arrêt 1C_192/2013 du 9 janvier 2014 consid. 2.1.1). Si les faits retenus au pénal lient en principe l'autorité et le juge administratifs, il en va différemment des questions de droit, en particulier de l'appréciation de la faute et de la mise en danger (arrêts 1C_495/2013 du 7 janvier 2014 consid. 6.1; 1C_502/2011 du 6 mars 2012 consid.</w:t>
      </w:r>
    </w:p>
    <w:p>
      <w:r>
        <w:rPr>
          <w:b/>
        </w:rPr>
        <w:t>E. 4</w:t>
      </w:r>
    </w:p>
    <w:p>
      <w:r>
        <w:t>C'est à juste titre en conséquence que l'infraction a été qualifiée de grave. L'intéressé ayant fait l'objet d'une précédente mesure de retrait du permis de conduire pour infraction grave dans les cinq années précédant la présente infraction, son permis de conduire doit lui être retiré pour douze mois au minimum, en application de l'art. 16c al. 2 let. c LCR. Le besoin privé du véhicule et les autres arguments invoqués par le recourant au sujet de la quotité de la sanction ne permettent pas de prononcer une sanction inférieure au minimum prévu par l'art. 16c LCR.</w:t>
      </w:r>
    </w:p>
    <w:p>
      <w:r>
        <w:rPr>
          <w:b/>
        </w:rPr>
        <w:t>E. 5</w:t>
      </w:r>
    </w:p>
    <w:p>
      <w:r>
        <w:t>Les considérants qui précèdent conduisent au rejet du recours aux frais de son auteur (art. 49 al. 1 LPA-VD),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