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CR.2014.0071 vom 15. Dezember 2014</w:t>
      </w:r>
    </w:p>
    <w:p>
      <w:r>
        <w:t>VD Tribunal cantonal, 2014-12-15, FR</w:t>
      </w:r>
    </w:p>
    <w:p>
      <w:r>
        <w:rPr>
          <w:b/>
        </w:rPr>
        <w:t xml:space="preserve">Quelle: </w:t>
      </w:r>
      <w:r>
        <w:t>https://mcp.opencaselaw.ch/entscheid/vd_omni_CR.2014.0071</w:t>
      </w:r>
    </w:p>
    <w:p>
      <w:r>
        <w:t>FR: VD_OMNI CR.2014.0071 du 15 décembre 2014</w:t>
      </w:r>
    </w:p>
    <w:p>
      <w:r>
        <w:t>IT: VD_OMNI CR.2014.0071 del 15 dicembre 2014</w:t>
      </w:r>
    </w:p>
    <w:p>
      <w:pPr>
        <w:pStyle w:val="Heading2"/>
      </w:pPr>
      <w:r>
        <w:t>Regeste</w:t>
      </w:r>
    </w:p>
    <w:p>
      <w:r>
        <w:t>X.________ /Service des automobiles et de la navigation | Confirmation du refus du SAN de restituer au recourant, sous le coup d'une mesure de sécurité, son permis de conduire. Les conditions fixées par la décision de retrait ne sont en effet pas réalisées: le recourant n'a en particulier pas établi avoir effectué un suivi alcoologique auprès d'un médecin; il n'a par ailleurs débuté un suivi psychologique qu'après la décision attaquée. Le besoin professionnel invoqué par l'intéressé n'est pas déterminant en matière de retrait de sécurité.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mesures d'instruction, le recourant a requis l'audition de deux témoins, E.________, son ancien employeur, et D.________, son psychologue.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souhaite que son ex-employeur soit entendu pour qu'il explique pour quels motifs le défaut de permis est un handicap dans la profession. Il a déjà produit dans le cadre de la procédure deux attestations écrites dans ce sens. Il n'est pas contesté que l'intéressé a un besoin professionnel de son permis. Cet élément n'est toutefois pas déterminant pour l'issue du litige comme on le verra ci-après. Le recourant requiert par ailleurs l'audition de son psychologue. Il justifie cette mesure d'instruction comme il suit: " il semblerait que, selon le psychologue, la décision en vigueur n'indique pas quels constats il doit effectuer pour que le recourant remplisse les conditions de restitution de permis instaurées par le service intimé ". On ne voit pas quel argument le recourant veut en tirer. La décision du 24 juillet 2012 subordonne la levée du retrait de sécurité à plusieurs conditions, dont un suivi spécialisé auprès d'un psychologue et psychiatre axé sur les problèmes de prises de stupéfiants, sur le rapport aux lois et sur la gestion des émotions. Cette dernière condition est décrite de manière suffisamment précise. Si le psychologue a des doutes sur les constats à effectuer, il lui appartiendra de s'adresser directement à l'autorité intimée, respectivement à son médecin-conseil. Il n'y a dès lors pas lieu de donner suite aux mesures d'instruction requises.</w:t>
      </w:r>
    </w:p>
    <w:p>
      <w:r>
        <w:rPr>
          <w:b/>
        </w:rPr>
        <w:t>E. 3</w:t>
      </w:r>
    </w:p>
    <w:p>
      <w:r>
        <w:t>Sur le plan formel, le recourant se plaint d'une motivation insuffisante. a)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b) En l'espèce, l'autorité intimée n'a certes pas répondu à chacun des griefs soulevés par le recourant dans sa réclamation. Elle a expliqué toutefois très précisément pour quels motifs elle considérait que les conditions de révocation de la mesure du 24 juillet 2012, en particulier le suivi psychologique et la preuve de son abstinence pendant les six mois précédant la demande de restitution, n'étaient pas remplies. Sa motivation respecte donc les exigences jurisprudentielles rappelées ci-dessus.</w:t>
      </w:r>
    </w:p>
    <w:p>
      <w:r>
        <w:rPr>
          <w:b/>
        </w:rPr>
        <w:t>E. 4</w:t>
      </w:r>
    </w:p>
    <w:p>
      <w:r>
        <w:t>a) Aux termes de l'art. 16d al. 1 let. b de loi fédérale du 19 décembre 1958 sur la circulation routière (LCR; RS 741.01), le permis d'élève conducteur ou le permis de conduire est retiré pour une durée indéterminée à la personne qui souffre d'une forme de dépendance la rendant inapte à la conduite. Selon la jurisprudence,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(TF 1C_282/2007 du 13 février 2008 consid. 2.1; ATF 127 II 122 consid. 3c p. 126; 124 II 559 consid. 3d p. 564). Après un retrait de sécurité, le permis ne pourra être restitué à son titulaire passé l'éventuel délai d'épreuve prévu par la loi ou imparti par l'autorité, qu'à certaines conditions (cf. art. 17 al. 3 LCR). En règle générale, l'automobiliste devra apporter la preuve de sa guérison par une abstinence contrôlée d'une année au moins (TF 1C_99/2007 du 13 juillet 2007 consid. 3.1). b) En l'espèce, l'autorité intimée, par décision du 24 juillet 2012, a ordonné le retrait du permis de conduire du recourant pour une durée indéterminée en raison d'une dépendance au cannabis, d'une consommation d'alcool abusive en des occasions ponctuelles et d'une consommation occasionnelle de cocaïne et d'amphétamines; il a subordonné la levée de cette mesure de sécurité à plusieurs conditions, dont l'abstinence de toute consommation d'alcool et de produits stupéfiants pendant au moins six mois, un suivi alcoologique auprès d'un médecin pendant au moins six mois, ainsi qu'un suivi psychologique pendant aussi six mois. Le recourant n'a contesté ni le principe du retrait de sécurité, ni les conditions subordonnant la révocation de cette mesure. Le recourant a sollicité la restitution de son permis de conduire le 30 avril 2013 et a renouvelé sa demande le 11 février 2014. Il affirme dans ses écritures qu'il remplit toutes les conditions fixées par la décision du 24 juillet 2012. Le recourant n'a toutefois pas établi avoir effectué un suivi alcoologique auprès d'un médecin. Il n'a par ailleurs entrepris un suivi psychologique qu'en août 2014, soit postérieurement à la décision attaquée. Quant aux contrôles sanguins et urinaires effectués, ils remontent à plus de douze mois. Ils ne permettent ainsi pas de prouver que le recourant a poursuivi son abstinence de toute consommation d'alcool et de produits stupéfiants après le mois d'avril 2013. La décision du 24 juillet 2012 précisait pourtant clairement que les prélèvements sanguins et urinaires devaient se poursuivre sans interruption jusqu'à décision sur la demande de restitution. L'autorité intimée l'a encore rappelé dans ses différents échanges avec le recourant. Quant au besoin professionnel de son permis invoqué par l'intéressé, il n'est pas déterminant en matière de retrait de sécurité; seule la disparition de la raison de l'inaptitude qui a fondé le retrait peut en effet justifier la levée de la mesure (arrêt CR.2006.0472 du 29 novembre 2007). Les conditions fixées par la décision du 24 juillet 2012 n'étant pas remplies, c'est à juste titre que l'autorité intimée a refusé de restituer au recourant son permis de conduire.</w:t>
      </w:r>
    </w:p>
    <w:p>
      <w:r>
        <w:rPr>
          <w:b/>
        </w:rPr>
        <w:t>E. 5</w:t>
      </w:r>
    </w:p>
    <w:p>
      <w:r>
        <w:t>Les considérants qui précèdent conduisent au rejet du recours et à la confirmation de la décision attaquée. a) Compte tenu de ses ressources, le recourant a été mise au bénéfice de l'assistance judiciaire par décision du 7 octobre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Regina Andrade Ortuno peut être arrêtée, compte tenu de la liste des opérations et des débours produite, à 909 fr. 40, soit 810 fr. d'honoraires, 32 fr. de débours et 67 fr. 40 de TVA, montant que l'on peut arrondir à 910 francs. b) Les frais de justice, arrêtés à 600 fr. (art. 4 al. 1, 2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