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CR.2014.0061 vom 9. Oktober 2014</w:t>
      </w:r>
    </w:p>
    <w:p>
      <w:r>
        <w:t>VD Tribunal cantonal, 2014-10-09, FR</w:t>
      </w:r>
    </w:p>
    <w:p>
      <w:r>
        <w:rPr>
          <w:b/>
        </w:rPr>
        <w:t xml:space="preserve">Quelle: </w:t>
      </w:r>
      <w:r>
        <w:t>https://mcp.opencaselaw.ch/entscheid/vd_omni_CR.2014.0061</w:t>
      </w:r>
    </w:p>
    <w:p>
      <w:r>
        <w:t>FR: VD_OMNI CR.2014.0061 du 9 octobre 2014</w:t>
      </w:r>
    </w:p>
    <w:p>
      <w:r>
        <w:t>IT: VD_OMNI CR.2014.0061 del 9 ottobre 2014</w:t>
      </w:r>
    </w:p>
    <w:p>
      <w:pPr>
        <w:pStyle w:val="Heading2"/>
      </w:pPr>
      <w:r>
        <w:t>Regeste</w:t>
      </w:r>
    </w:p>
    <w:p>
      <w:r>
        <w:t>A. X.________/Service des automobiles et de la navigation | Automobiliste qui, circulant sur l'autoroute, déboîte, devance un véhicule par la droite et regagne la voie de dépassement au terme de sa manoeuvre. Infraction grave au sens de l'art. 16c al. 1 let. a LCR. Le recourant, qui s'est déjà vu retirer son permis en raison d'une infraction moyenne au cours des 5 dernières années, se trouve en situation de récidive au sens de l'art. 16c al. 2 let. b LCR et doit faire l'objet d'un retrait d'au moins 6 mois. S'en tenant à cette durée minimale, la décision attaquée ne peut qu'être confirmée.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ne conteste pas les faits reprochés. Il soutient en revanche que l'infraction commise ne saurait être qualifiée de grave. a) La LCR distingue les infractions légères, moyennement graves et graves (art. 16a - c LCR). - Commet une infraction légère la personne qui, en violant les règles de la circulation routière, met légèrement en danger la sécurité d'autrui et à laquelle seule une faute bénigne peut être imputée (art. 16a al. 1 let. a LCR). - Commet une infraction moyennement grave la personne qui, en violant les règles de la circulation, crée un danger pour la sécurité d'autrui ou en prend le risque (art. 16b al. 1 let. a LCR). - Commet une infraction grave la personne qui, en violant gravement les règles de la circulation, met sérieusement en danger la sécurité d'autrui ou en prend le risque (art. 16c al. 1 let. a LCR). b)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p. 141; TF, arrêt 6A.16/2006 du 6 avril 2006 consid. 2.1.1 in JdT 2006 I 442). L'infraction grave au sens de l'art. 16c al.1 let. a LCR est ainsi subordonnée à la double gravité de la faute commise et de la mise en danger objective (Mizel, op. cit. p. 395). Une faute grave présuppose un comportement dénué de scrupules ou pour le moins constitutif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(ATF 131 IV 133, cons. 3.2; en outre, arrêts CR.2012.0004 du 8 mars 2012 et CR.2010.0076 du</w:t>
      </w:r>
    </w:p>
    <w:p>
      <w:r>
        <w:rPr>
          <w:b/>
        </w:rPr>
        <w:t>E. 7</w:t>
      </w:r>
    </w:p>
    <w:p>
      <w:r>
        <w:t>juin 2011, ainsi que les références citées). c) Aux termes de l'art. 35 al. 1 LCR, les dépassements se font par la gauche. Selon la jurisprudence, il y a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126 IV 192 consid. 2a p. 194; 115 IV 244 consid. 2; 114 IV 55 consid. 1). Il n'en va différemment que lorsqu'il s'agit, sur route (art. 8 al. 3 OCR) ou sur autoroute (art. 36 al. 5 let. a OCR),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133 II 58 consid. 4; 126 IV 192 consid. 2a p. 194; 115 IV 244 consid. 2 et 3). Selon la jurisprudence, l'interdiction du dépassement par la droite est une règle fondamentale de la circulation, dont la violation entraîne une mise en danger considérable de la sécurité routière, avec un risque d'accident important. Celui qui circule sur l'autoroute doit pouvoir être certain qu'il ne sera pas dépassé par la droite. En particulier, le dépassement par la droite sur l'autoroute, où les vitesses sont élevées, représente une grave mise en danger abstraite des autres usagers de la route; ceux-ci peuvent en effet être surpris par la manoeuvre et amenés à un freinage intempestif (ATF 126 IV 192 consid. 3 p. 196-197; TF, arrêts 1C_280/2012 du 28 mai 2013 consid. 3.3 et 1C_93/2008 du 2 juillet 2008 consid. 2.3). d) Selon le rapport de police, le recourant circulait sur l'autoroute A9 de Vevey en direction de Lausanne. Il se trouvait sur la voie de gauche derrière un véhicule de police banalisé. Profitant d'un espace dans le trafic, il s'est placé sur la voie de droite et a dépassé les gendarmes. Au terme de la manoeuvre, il a regagné la voie de dépassement et poursuivi sa route. Le recourant a ainsi délibérément adopté un comportement dont le caractère dangereux ne pouvait pas lui échapper. Il a agi dans le but manifeste d'avancer plus vite en profitant d'un espace libre sur la voie de droite. Cette manoeuvre était d'autant plus dangereuse que les vitesses étaient élevées (plus de 110 km/h) et qu'il y avait du trafic, même s'il n'était pas particulièrement dense (les agents dénonciateurs l'ont qualifié de densité moyenne). Il y a donc là, à tout le moins, une négligence grossière. La faute commise doit ainsi être qualifiée de grave. En outre, s'il n'a pas concrètement mis en danger la circulation (il n'y a pas eu d'accident), le recourant a néanmoins créé une mise en danger abstraite importante du trafic. Le conducteur du véhicule de police aurait en effet pu être surpris par la manoeuvre et amené à des réactions dangereuses (par exemple un freinage intempestif ou un écart brusque). Il aurait également pu se rabattre sur la voie de droite au moment où le recourant entreprenait de dépasser lui-même par la droite. Le risque d'accident était ainsi potentiellement élevé, avec des conséquences vraisemblablement graves. Conformément à la jurisprudence rappelée ci-dessus, la mise en danger créée par le dépassement par la droite entrepris par le recourant ne peut qu'être qualifiée de grave. Le fait qu'aucun usager n'ait finalement été gêné par la manoeuvre, que les conditions météorologiques étaient bonnes et que la chaussée était sèche n'est pas déterminant (arrêts CR.2013.0113 du 5 juin 2014 consid. 5; CR.2013.0087 du 13 novembre 2013 consid. 4; CR.2012.0004 du 8 mars 2012 consid. 3). Les faits de la présente espèce diffèrent par ailleurs de ceux à la base de l'arrêt CR.2013.0069 du 4 décembre 2013 invoqué par le recourant. En effet, dans cette affaire, le conducteur fautif se trouvait en effet déjà sur la voie de droite de l'autoroute (et non sur la voie de gauche) lorsqu'il a devancé par la droite un véhicule avant de se rabattre devant lui. La double condition de gravité de la faute et de la mise en danger étant réalisée, c'est à juste titre que l'autorité intimée a qualifié l'infraction commise de grave au sens de l'art. 16c al. 1 let. a LCR. Le recourant se prévaut enfin en vain de la qualification retenue par le Préfet du district Riviera-pays d'Enhaut. En effet, si l'autorité administrative est en principe liée par les faits retenus au pénal, il en va en revanche différemment des questions de droit, en particulier de l'appréciation de la faute et de la mise en danger (arrêt 1C_353/2010 du 12 janvier 2011 consid. 2.1 et les références). 3. a)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Le permis de conduire est retiré pour douze mois au minimum si, au cours des cinq années précédentes, le permis a été retiré une fois en raison d'une infraction grave ou à deux reprises en raison d'infractions moyennement graves (art. 16c al. 2 let. c LCR). b)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c) En l'espèce, le recourant s'est vu retirer son permis de conduire le 19 octobre 2009 en raison d'une infraction moyennement grave. Il se trouve ainsi en situation de récidive au sens de l'art. 16c al. 2 let. b LCR. Son permis de conduire doit lui être retiré pour six mois au minimum. S'en tenant à cette durée minimale, la décision attaquée ne peut qu'être confirmée, en dépit du besoin professionnel que le recourant a de son permis. 4. Les considérants qui précèdent conduisent au rejet du recours et à la confirmation de la décision attaquée.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