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CR.2014.0059 vom 4. August 2015</w:t>
      </w:r>
    </w:p>
    <w:p>
      <w:r>
        <w:t>VD Tribunal cantonal, 2015-08-04, FR</w:t>
      </w:r>
    </w:p>
    <w:p>
      <w:r>
        <w:rPr>
          <w:b/>
        </w:rPr>
        <w:t xml:space="preserve">Quelle: </w:t>
      </w:r>
      <w:r>
        <w:t>https://mcp.opencaselaw.ch/entscheid/vd_omni_CR.2014.0059</w:t>
      </w:r>
    </w:p>
    <w:p>
      <w:r>
        <w:t>FR: VD_OMNI CR.2014.0059 du 4 août 2015</w:t>
      </w:r>
    </w:p>
    <w:p>
      <w:r>
        <w:t>IT: VD_OMNI CR.2014.0059 del 4 agosto 2015</w:t>
      </w:r>
    </w:p>
    <w:p>
      <w:pPr>
        <w:pStyle w:val="Heading2"/>
      </w:pPr>
      <w:r>
        <w:t>Regeste</w:t>
      </w:r>
    </w:p>
    <w:p>
      <w:r>
        <w:t>X.________ /Service des automobiles et de la navigation | La recourante, en enclenchant la marche avant au lieu de la marche arrière, a percuté violemment le véhicule stationné devant le sien (dans lequel se trouvait une enfant), sous l'effet du choc celui-ci a embouti la voiture située derrière et il s'en est suivi une collison à la chaîne. La recourante ne s'est pas arrêtée et n'a pas avisé la police, elle n'a même pas ouvert la porte de son appartement aux policiers lorsqu'ils sont passés à son domicile. Les conditions objectives et subjectives d'une dérobade aux mesures de contrôle selon l'art. 91a LCR sont réalisées, la recourante a donc commis une infraction grave au sens de l'art. 16c al. 1 let. d LCR. Par ailleurs, en perdant la maîtrise de son véhicule et en quittant les lieux de l'accident sans se soucier de l'état de santé de l'enfant dont elle avait croisé le regard, la recourante a mis sérieusement en danger la vie d'autrui et la circulation, elle a ainsi commis une infraction grave au sens de l'art. 16 al. 1 let. a LCR. Un retrait du permis de conduire pour une durée de trois mois (correspondant au minimum légal) se justifie. Recours rejeté.</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Dans la mesure où la décision attaquée se fonde sur l’ordonnance pénale du 16 avril 2014, entrée en force, il y a lieu d’examiner si le tribunal peut s’écarter des faits retenus dans la décision pénale. a) Selon la jurisprudence bien établie du Tribunal fédéral,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(procédure de l’ordonnance pénale),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Si les faits retenus au pénal lient donc en principe l'autorité et le juge administratifs, il en va différemment des questions de droit, en particulier de l'appréciation de la faute et de la mise en danger (arrêt 1C_353/2010 du 12 janvier 2011 consid. 2.1 et les références). b) En l’espèce, la décision attaquée retient notamment sur la base de l’ordonnance pénale du 16 avril 2014, une violation des devoirs en cas d’accident et une dérobade à une mesure visant à déterminer l’incapacité de conduire au motif que la recourante a quitté les lieux sans aviser les lésés ou la police, en se soustrayant ainsi à un contrôle de son état physique. Toutefois, la recourante prétend ne pas avoir reçu l’ordonnance pénale rendue le 16 avril 2014 par la procureure de l’arrondissement de Lausanne. Selon la jurisprudence, le fardeau de la preuve de la notification et de la date de celle-ci incombe en principe à l'autorité qui entend en tirer une conséquence juridique (ATF 129 I 8 consid. 2.2 et les arrêts cités). Si la notification d’un acte envoyé sous pli simple ou la date de la notification sont contestées et qu’il existe effectivement un doute à ce sujet, il y a lieu de se fonder sur les déclarations du destinataire de la communication (ATF 124 V 400 consid. 2a et les réf. citées). L’ordonnance pénale a été envoyée à l’adresse à laquelle est domiciliée la recourante. Le dossier ne permet pas de déterminer si elle a été envoyée sous pli simple ou sous pli recommandé. La question de savoir si le tribunal peut s’écarter des faits établis par l’autorité pénale n’a toutefois pas de portée dans le cas présent, car même en procédant à un réexamen complet de la cause conforme à l’art. 28 LPA-VD, le tribunal n’aboutirait pas à un résultat différent de celui de l’autorité intimée.</w:t>
      </w:r>
    </w:p>
    <w:p>
      <w:r>
        <w:rPr>
          <w:b/>
        </w:rPr>
        <w:t>E. 2.2</w:t>
      </w:r>
    </w:p>
    <w:p>
      <w:r>
        <w:t>p. 39; 126 IV 53 consid. 2a p. 55/56). c) L'art. 51 LCR réglemente les devoirs en cas d'accident. Selon cette disposition,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L'immédiateté de l'avis requis par la loi doit être interprétée de manière stricte. Celui-ci doit être donné aussi rapidement que les circonstances le permettent. L'auteur ne peut différer l'avis pour des questions de convenance personnelle ou pour ne pas déranger de nuit le lésé ( ATF 92 IV 22 consid. 2 p. 24; arrêt 6S.281/2004 du 10 février 2004 consid. 1.2.1). Si celui-ci n'est pas présent sur les lieux et qu'il ne peut être avisé immédiatement, parce qu'il n'est pas connu ou qu'il n'est pas atteignable, l'auteur de l'accident devra aviser la police (ATF 6B_5/2012 du 17 avril 2012 consid. 2.1). d) En l’espèce, l’accident survenu le 6 janvier 2014 a causé des dommages matériels aux véhicules stationnés le long de la rue du Midi, dans l’un desquels se trouvait de surcroît la jeune B.________. La jurisprudence a été amenée à se prononcer sur des accidents où le conducteur avait endommagé des biens de tiers, comme une voiture en stationnement, une clôture ou un panneau de signalisation (ATF 131 IV 36 consid. 2.2.1). En enclenchant la marche avant au lieu de la marche arrière, la recourante a percuté violemment le véhicule stationné devant le sien ; sous l’effet du choc celui-ci a embouti la voiture située derrière et il s’en est suivi une collision à la chaîne. La recourante ayant endommagé les véhicules stationnés devant le sien, elle devait donc s’arrêter immédiatement et avertir les personnes lésées en laissant sur le pare-brise de leurs véhicules un billet indiquant son nom et son adresse, ou aviser la police si elle était dans l’impossibilité de procéder de la sorte (art. 51 al. 1 et 3 LCR). Selon la jurisprudence, le fait de ne pas annoncer immédiatement l’accident à la police remplit les conditions objectives de l’entrave à la prise de sang si le conducteur avait l’obligation d’avertir la police sans retard et, si cette annonce était possible et encore si, au regard des circonstances, l’autorité aurait selon toute vraisemblance ordonné une prise de sang à l’annonce de l’accident. Constituent de telles circonstances, selon la jurisprudence, d’une part l’accident lui-même (sa nature, sa gravité, son déroulement) et, d’autre part, l’état et le comportement du conducteur avant et après l’accident jusqu’à l’ultime moment où l’accident aurait pu être annoncé (ATF 131 IV 36 consid. 2.2.1). En l’espèce, les conditions d’une annonce immédiate selon l’art. 51 al. 3 LCR étaient remplies en raison du dommage matériel causé aux véhicules stationnés devant celui de la recourante; par ailleurs rien n’empêchait cette dernière d’appeler la police au moment de l’accident ni même d’ouvrir la porte de son appartement aux agents de la police lorsqu’ils sont passés à son domicile, le soir même de l’accident. Il n’est pas douteux que dans de telles circonstances, la recourante devait s’attendre à ce que des mesures de contrôle soient ordonnées pour vérifier son taux d’alcoolémie, surtout compte tenu du fait qu’elle avait bu des boissons alcoolisées lors de l’apéritif pris en compagnie de son ex-époux. Les conditions objectives et subjectives d’une dérobade aux mesures de contrôle au sens de l’art. 91a LCR sont réalisées et donc aussi le cas de retrait du permis de conduire pour une infraction grave au sens de l’art. 16c al. 1 let. d LCR.</w:t>
      </w:r>
    </w:p>
    <w:p>
      <w:r>
        <w:rPr>
          <w:b/>
        </w:rPr>
        <w:t>E. 3</w:t>
      </w:r>
    </w:p>
    <w:p>
      <w:r>
        <w:t>La recourante conteste avoir enfreint ses devoirs en cas d’accident (art. 51 al. 3 LCR) et s’être dérobée à une mesure visant à déterminer son incapacité de conduire (art. 91a al.1 LCR). Elle ne conteste en revanche pas la perte de maîtrise de son véhicule en quittant une place de stationnement. a) Selon l’art. 16c al. 1 let. d LCR, commet une infraction grave, le conducteur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(ATF 6B_5/2012 du 17 avril 2012 consid. 3.1). Déterminer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 ATF 126 IV 53 consid. 2a p. 55 s.). b) Le conducteur peut se rendre coupable d’une entrave aux mesures de constatation de l’incapacité de conduire en violant d'autres règles de comportement que celles de l’art. 51 LCR, qui servent à établir son identité et à clarifier l'état de fait ( ATF 131 IV 36 consid. 2.2.2 p. 40). Indépendamment du devoir d'aviser la police en cas d'accident, le fait de consommer de l'alcool après un accident pouvant motiver un ordre de prise de sang, peut remplir les conditions objectives de l'entrave au sens de l'art. 91a LCR. Sur le plan objectif, il est nécessaire que la prise de sang ait été hautement vraisemblable et que la consommation d'alcool après l'accident alléguée ait rendu impossible la détermination de l'alcoolémie au moment déterminant. Subjectivement, il faut que le conducteur ait eu la conscience de la haute vraisemblance de la prise de sang et qu'il ait voulu entraver cette mesure ( ATF 131 IV 36 consid. 2.2.4 p. 40; arrêts 6S.42/2004 du 12 mai 2004 consid. 2.1.3 et 6S.412/2004 du 16 décembre 2005 consid. 1.2 rendus sous l'empire de l'art. 91 al. 3 aLCR). Sur le plan subjectif, le dol éventuel suffit pour retenir une infraction à l'art. 91a al. 1 LCR. Cela est le cas lorsque le conducteur connaissait les faits fondant l'obligation d'aviser la police et la haute vraisemblance de l'ordre de prise de sang et que l'omission de l'annonce prescrite par l'art. 51 LCR ne peut raisonnablement s'expliquer que par l'acceptation d'une soustraction à une prise de sang ( ATF 131 IV 36 consid.</w:t>
      </w:r>
    </w:p>
    <w:p>
      <w:r>
        <w:rPr>
          <w:b/>
        </w:rPr>
        <w:t>E. 4</w:t>
      </w:r>
    </w:p>
    <w:p>
      <w:r>
        <w:t>a) La recourante a perdu la maîtrise de son véhicule. L’art. 16c al. 1 LCR prévoit que le conducteur qui, en violant gravement les règles de la circulation, met sérieusement en danger la sécurité d'autrui ou en prend le risque commet une infraction grave pour laquelle un retrait de trois mois au minimum est prévu (art. 16c al. 2 let. a LCR). b) Selon l’art. 31 LCR, le conducteur devra rester constamment maître de son véhicule de façon à pouvoir se conformer aux devoirs de la prudence (al. 1). Par ailleurs,  l'art. 32 al. 1 LCR prévoit que la vitesse doit toujours être adaptée aux circonstances, notamment aux particularités du véhicule et du chargement, ainsi qu'aux conditions de la route, de la circulation et de la visibilité.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127 IV 34 consid. 3c/bb p. 44; 122 IV 225 consid. 2b p. 228; 103 IV 101 consid. 2b p. 104). Selon la jurisprudence, la perte de maîtrise du véhicule ne constitue pas toujours une infraction grave au sens de l'art. 16a al. 1 let. a LCR. Selon les circonstances – en particulier selon le degré de mise en danger de la sécurité d'autrui et selon la faute de l'intéressé – l'infraction peut être qualifiée de moyennement grave au sens de l'art. 16b al. 1 let. a LCR, voire même de légère au sens de l'art. 16a al. 1 let. a LCR (arrêt 1C_235/2007 du 29 novembre 2007 consid. 2.2). c) Dans le cas présent, en voulant quitter une place de stationnement, la recourante a heurté le véhicule stationné correctement devant le sien ; sous l’effet du choc celui-ci est allé emboutir la voiture stationnée devant en la poussant en arrière sur une distance de six mètres, il s’en est suivi une collision à la chaîne. La rue du Midi, à Lausanne, se caractérise par le fait qu’elle est plate, de sorte qu’une simple « touchette » ne produit pas les effets de ceux occasionnés par la manœuvre imputable à la recourante. Partant, il y a lieu de considérer que cette dernière a non seulement enclenché la marche avant au lieu de la marche arrière et qu’elle n’a en outre pas correctement dosé la vitesse dont elle avait besoin pour pouvoir quitter normalement la place de stationnement sur laquelle elle se trouvait. Il apparaît de surcroît que la jeune B.________ est restée à l’intérieur du véhicule de sa maman, celle-ci étant allée chercher des plats à l’emporter, qui était stationné correctement devant la voiture de la recourante. Il ressort des déclarations de B.________ qu’elle a croisé le regard de la recourante ; cette dernière ne pouvait donc pas ignorer la présence d’une enfant à l’intérieur du véhicule stationné juste devant le sien. Partant, la recourante a quitté les lieux de l’accident sans se soucier de l’état de santé de B.________, qui a ressenti des douleurs à la nuque, mais n’a toutefois pas consulté de médecin. Il apparaît ainsi clairement que la recourante a sérieusement mis en danger la circulation et la vie d’autrui par la perte de maîtrise de son véhicule, ce qui constitue une violation grave des règles de la circulation, et donc une infraction grave au sens de l’art. 16 al. 1 let. a LCR justifiant la durée de retrait de trois mois au minimum selon de l’art. 16 al. 2 let. a LCR. Dans les cas d'application de l'art. 16c LCR, il n'est pas possible, même dans des circonstances particulières, de retirer le permis de conduire pour une durée inférieure aux durées minimales prévues par cette disposition (ATF 135 II 334 consid. 2.2 p. 336; 132 II 234 consid. 2.3 p. 236s.). En effet,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w:t>
      </w:r>
    </w:p>
    <w:p>
      <w:r>
        <w:rPr>
          <w:b/>
        </w:rPr>
        <w:t>E. 5</w:t>
      </w:r>
    </w:p>
    <w:p>
      <w:r>
        <w:t>Il résulte des considérants qui précèdent que le recours doit être rejeté et la décision attaquée maintenue. L’autorité intimée fixera un nouveau délai à la recourante pour le dépôt de son permis de conduire. La recourante, qui succombe, supportera les frais de justice (art. 49 al. 1 LPA-VD); pour le même motif, elle n’a pas droit à l’allocation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