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CR.2014.0049 vom 27. November 2014</w:t>
      </w:r>
    </w:p>
    <w:p>
      <w:r>
        <w:t>VD Tribunal cantonal, 2014-11-27, FR</w:t>
      </w:r>
    </w:p>
    <w:p>
      <w:r>
        <w:rPr>
          <w:b/>
        </w:rPr>
        <w:t xml:space="preserve">Quelle: </w:t>
      </w:r>
      <w:r>
        <w:t>https://mcp.opencaselaw.ch/entscheid/vd_omni_CR.2014.0049</w:t>
      </w:r>
    </w:p>
    <w:p>
      <w:r>
        <w:t>FR: VD_OMNI CR.2014.0049 du 27 novembre 2014</w:t>
      </w:r>
    </w:p>
    <w:p>
      <w:r>
        <w:t>IT: VD_OMNI CR.2014.0049 del 27 novembre 2014</w:t>
      </w:r>
    </w:p>
    <w:p>
      <w:pPr>
        <w:pStyle w:val="Heading2"/>
      </w:pPr>
      <w:r>
        <w:t>Regeste</w:t>
      </w:r>
    </w:p>
    <w:p>
      <w:r>
        <w:t>X.________ /Service des automobiles et de la navigation | Recours contre une décision de retrait de permis de conduire d'un mois suite à un dépassement de vitesse de 21 km/h, marge de sécurité déduite, à l'intérieur d'une localité. Le recourant n'est plus en mesure de remettre en cause la fiabilité du radar ayant mesuré sa vitesse, dès lors qu'il s'agit là de l'infraction constatée elle-même, soit de faits retenus dans l'ordonnance pénale du Préfet. Le retrait de permis prononcé correspond au minimum fixé par la loi, auquel il ne saurait être dérogé, aucune circonstance particulière ne permettant au demeurant de retenir que le cas serait de moindre gravité.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 recourant dispose de la qualité pour former recours, au sens de l'art. 75 LPA-VD, dans la mesure où, en sa qualité de destinataire de la décision attaquée, il est atteint par celle-ci et présente un intérêt digne de protection à ce qu'elle soit annulée ou modifiée. Le recours satisfait également aux conditions formelles énoncées par l'art. 79 LPA-VD. Il y a donc lieu d'entrer en matière sur le fond.</w:t>
      </w:r>
    </w:p>
    <w:p>
      <w:r>
        <w:rPr>
          <w:b/>
        </w:rPr>
        <w:t>E. 2</w:t>
      </w:r>
    </w:p>
    <w:p>
      <w:r>
        <w:t>Sans en faire clairement un grief de son recours, le recourant a évoqué, en cours de procédure, la question de la fiabilité du radar ayant mesuré sa vitesse. Il a ainsi affirmé n'avoir aucune preuve de la conformité du radar, notamment du point de vue de son étalonnage. Sous cet angle, le recourant s'en prend à l'infraction constatée elle-même, soit à des faits retenus dans l'ordonnance pénale du Préfet. a) Selon la jurisprudence,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L'autorité administrative ne peut dès lors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 citées). b) En l'espèce, aucun élément ne permet de penser que le radar en cause aurait pu retenir une vitesse erronée, en raison d'un défaut de fonctionnement. Dès lors que la condamnation pénale retenant un excès de vitesse de 21 km/h en localité, marge de sécurité déduite, est désormais entrée force, il n'y a pas lieu de s'en écarter.</w:t>
      </w:r>
    </w:p>
    <w:p>
      <w:r>
        <w:rPr>
          <w:b/>
        </w:rPr>
        <w:t>E. 3</w:t>
      </w:r>
    </w:p>
    <w:p>
      <w:r>
        <w:t>Le recourant considère en substance que la durée d'un mois du retrait de permis est disproportionnée par rapport à sa faute. Il affirme que la zone dans laquelle l'infraction s'est produite laisse penser que la vitesse est limitée à 60 voire 80 km/h et que l'infraction commise n'a occasionné aucune mise en danger. Lors de l'audience, le recourant a également exposé que son recours n'était pas tant motivé par le retrait de permis lui-même, mais par le fait qu'en cas de nouvelle infraction, sa situation sera nettement plus défavorable en raison de cet antécédent. a) Selon l'art. 16 al. 2 de la loi fédérale du 19 décembre 1958 sur la circulation routière (LCR; RS 741.01), " lorsque la procédure prévue par la loi fédérale du 24 juin 1970 sur les amendes d'ordre n'est pas applicable, une infraction aux prescriptions sur la circulation routière entraîne le retrait du permis d'élève-conducteur ou du permis de conduire ou un avertissement ". Conformément à l'art. 16b al. 2 let. a LCR, le permis d'élève-conducteur ou le permis de conduire est retiré pour un mois au minimum après une infraction moyennement grave. Commet une infraction moyennement grave, selon l'art. 16b al. 1 let. a LCR, la personne qui, " en violant les règles de la circulation, crée un danger pour la sécurité d'autrui ou en prend le risque ". L'art. 16 al. 3 LCR précise par ailleurs que si des circonstances telles que la gravité de la faute, les antécédents ou la nécessité professionnelle de conduire un véhicule automobile doivent être prises en compte pour fixer la durée du retrait, la durée minimale ne peut pas être réduite. b) Selon la jurisprudence du Tribunal fédéral, dans le domaine des excès de vitesse, des règles précises ont été fixées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124 II 259 consid. 2b). Il est en revanche de moyenne gravité lorsque le dépassement de la vitesse autorisée est, respectivement, de 21 à 24 km/h (ATF 126 II 196 consid. 2a), de 26 à 29 km/h et de 31 à 34 km/h (ATF 128 II 131 consid. 2a). Le Tribunal fédéral retient cependant que cette jurisprudence ne dispense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124 II 97 consid. 2c; 123 II 37 consid. 1f). L'autorité pourra également renoncer au retrait du permis de conduire en présence de circonstances analogues à celles qui justifient de renoncer à une peine en application de l'art. 54 CP, soit lorsque l'auteur a lui-même été directement atteint par les conséquences de son acte (arrêt 1C_315/2012 du 9 janvier 2014 consid. 3.1).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(LCR) du 31 mars 1999, FF 1999 IV 4131; ATF 132 II 234 consid. 2.3). Cette volonté d'uniformité, clairement exprimée par le législateur, s'oppose ainsi à l'introduction de nouvelles exceptions par voie d'interprétation en faveur des conducteurs pour lesquels l'usage d'un véhicule adapté à leur handicap compense des difficultés de mobilité physiques, tels que les paraplégiques. De même, elle exclut la possibilité de réduire la durée minimale du retrait du permis, voire de renoncer à toute sanction en cas de faute particulièrement peu grave (arrêts 1C_83/2008 du 16 octobre 2008 consid. 2.1 et les réf. citées). c) Dans le cas présent, l'autorité intimée a prononcé un retrait de permis d'un mois, ce qui correspond à la durée minimale fixée par la loi. Au vu de la jurisprudence précitée, qui a rappelé la volonté clairement exprimée par le législateur, il ne saurait être dérogé à cette durée minimale. Au demeurant, aucune circonstance particulière ne permet de retenir que le cas serait de moindre gravité, au sens de la jurisprudence exposée ci-dessus. En particulier, contrairement à ce qu'affirme le recourant, la configuration des lieux ne lui permettait nullement de penser qu'il n'était plus à l'intérieur d'une localité. L'artère en cause, bien que comportant quatre pistes, se situe dans un environnement largement bâti; la circulation y est dense et régulièrement ponctuée de feux de signalisation et de présélections. Compte tenu de cette situation, il ne se justifie pas d'examiner plus avant la situation des autres axes lausannois que le recourant invoque à titre de comparaison. On ne saurait davantage suivre le recourant lorsqu'il affirme qu'en apercevant le panneau de limitation de 60 km/h, lequel était situé à une centaine de mètres du lieu de l'infraction, il aurait pensé qu'il s'agissait uniquement d'un rappel. A cet égard, la position du recourant n'est pas exempte de contradiction, puisqu'il a également affirmé que depuis le lieu où il a pris son véhicule ce jour-là, soit l'avenue du Temple 55, il n'a vu aucun panneau de limitation de vitesse. Or l'avenue du Temple est une route secondaire située dans le quartier de la Sallaz; si le recourant ne pouvait douter du fait qu'il se trouvait à l'intérieur d'une localité en circulant sur la route de Berne, une telle confusion était encore moins envisageable à l'avenue du Temple. En conclusion, il y a lieu de retenir que le recourant se méprend lorsqu'il affirme que l'infraction commise n'a pas créé de danger pour la sécurité d'autrui, au sens de l'art. 16b al. 1 let. a LCR. C'est donc avec raison que l'autorité intimée a retenu une faute moyennement grave, en application de la jurisprudence constante du Tribunal fédéral relative aux excès de vitesse, et prononcé un retrait de permis d'un mois.</w:t>
      </w:r>
    </w:p>
    <w:p>
      <w:r>
        <w:rPr>
          <w:b/>
        </w:rPr>
        <w:t>E. 4</w:t>
      </w:r>
    </w:p>
    <w:p>
      <w:r>
        <w:t>Compte tenu de ces motifs, le recours doit être rejeté et la décision attaquée confirmée. Les frais seront mis à la charge du recourant, qui succombe. Il n'y a pas lieu d'allouer de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