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CR.2014.0045 vom 26. Mai 2015</w:t>
      </w:r>
    </w:p>
    <w:p>
      <w:r>
        <w:t>VD Tribunal cantonal, 2015-05-26, FR</w:t>
      </w:r>
    </w:p>
    <w:p>
      <w:r>
        <w:rPr>
          <w:b/>
        </w:rPr>
        <w:t xml:space="preserve">Quelle: </w:t>
      </w:r>
      <w:r>
        <w:t>https://mcp.opencaselaw.ch/entscheid/vd_omni_CR.2014.0045</w:t>
      </w:r>
    </w:p>
    <w:p>
      <w:r>
        <w:t>FR: VD_OMNI CR.2014.0045 du 26 mai 2015</w:t>
      </w:r>
    </w:p>
    <w:p>
      <w:r>
        <w:t>IT: VD_OMNI CR.2014.0045 del 26 maggio 2015</w:t>
      </w:r>
    </w:p>
    <w:p>
      <w:pPr>
        <w:pStyle w:val="Heading2"/>
      </w:pPr>
      <w:r>
        <w:t>Regeste</w:t>
      </w:r>
    </w:p>
    <w:p>
      <w:r>
        <w:t>X.________/Service des automobiles et de la navigation | Recours contre une décision sur réclamation du SAN confirmant le retrait de sécurité du permis de conduire de l'intéressé pour une durée indéterminée au motif qu'il n'a pas respecté les conditions auxquelles était subordonné son droit de conduire et qu'il est ainsi réputé inapte à la conduite. L'inaptitude du recourant (en lien avec une dépendance à l'alcool) a été dûment constatée dans le cadre d'une expertise UMPT; à la suite d'une nouvelle expertise (simplifiée) concluant que l'inaptitude avait disparu, son permis de conduire lui a été restitué, le maintien de son droit de conduire étant toutefois subordonné à différentes conditions - notamment à la poursuite d'une abstinence stricte de toute consommation d'alcool pour une durée de six mois au moins. Dans la mesure où il est établi que l'intéressé n'a pas respecté cette dernière condition, l'autorité intimée n'a pas abusé de son pouvoir d'appréciation en prononçant un nouveau retrait de sécurité (art. 17 al. 5 LCR); dans ce cadre, elle n'était pas tenue, en particulier, de procéder à de nouvelles investigations quant à son aptitude à la conduite. Rejet du recours et confirmation de la décision sur réclamation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retrait de sécurité du permis de conduire du recourant prononcé par l'autorité intimée pour un motif alcoologique. a) Aux termes de l'art. 14 de la loi fédérale du 19 décembre 1958 sur la circulation routière (LCR; RS 741.01), tout conducteur de véhicule automobile doit posséder l'aptitude et les qualifications nécessaires à la conduite (al. 1). Est apte à la conduite celui qui, notamment (al. 2), a les aptitudes physiques et psychiques requises pour conduire un véhicule automobile en toute sécurité (let. b) et ne souffre d'aucune dépendance qui l'empêche de conduire un véhicule automobile en toute sécurité (let. c). Selon l’art. 16 al. 1, 1 ère phrase LCR, les permis et les autorisations seront retirés lorsque l’autorité constate que les conditions légales de leur délivrance ne sont pas ou plus remplies. A teneur de l’art. 16d al. 1 LCR, qui met en œuvre les principes posés aux art. 14 al. 2 let. c et 16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 ATF 129 II 82 consid. 4.1; TF, arrêt 1C_243/2007 du 6 novembre 2007 consid. 2.1 et les références; arrêt CR.2014.0047 du 3 février 2015 consid. 1b).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arrêt 6A.14/2004 du 30 mars 2004 consid. 2.2 et les références). c) Selon l'art. 17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(al. 3). Si la personne concernée n’observe pas les conditions imposées ou trompe d’une autre manière la confiance mise en elle, le permis lui est retiré à nouveau (al. 5). Dans cette hypothèse, l'autorité devra décider de la durée d'un tel retrait et s'il y a lieu de fournir de nouvelles preuves quant à l'aptitude à conduire de la personne en cause (Message du Conseil fédéral concernant la modification de la loi fédérale sur la circulation routière du 31 mars 1999 , FF 1999 4106, p. 4137 ad art. 17 LCR). Selon la jurisprudence, il résulte notamment de l'art. 17 al. 3 LCR qu'après un retrait, le permis de conduire ne pourra être restitué à son titulaire, passé l'éventuel délai d'épreuve prévu par la loi ou imparti par l'autorité, qu'à certaines conditions.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(ATF 131 II 248 consid. 6.1 in fine et 6.2). Dans ce cadre, en cas de retrait du permis de conduire pour un motif alcoologique, l’observation d’une abstinence de toute consommation d’alcool est le seul moyen permettant à l'intéressé de démontrer qu'il est parvenu à surmonter durablement son inaptitude en ayant cessé toute consommation d'alcool sur une longue période (arrêt CR.2014.0073 du 28 janvier 2015 consid. 2a in fine et les références). d) En l'espèce, le recourant conteste en substance que l'analyse capillaire du 25 juillet 2013 soit suffisante pour justifier le retrait de sécurité de son permis de conduire. S'il admet que cette analyse montre une consommation modérée d'alcool, il persiste à expliquer cette consommation par la prise de bières sans alcool. Il conteste qu'il présenterait une consommation d'alcool problématique persistante et se réfère à cet égard, en particulier, à l'avis du 21 mai 2014 du Prof. Z.________. Il rappelle que le retrait de sécurité constitue l' ultima ratio et ne saurait être prononcé sans autre, et requiert la mise en œuvre d'une expertise médicale destinée à déterminer son aptitude à la conduite automobile. Il convient de relever d'emblée que, comme déjà relevé au consid. 2b de l'arrêt CR.2013.0094 du 15 avril 2014, il résulte sans équivoque de l'avis du CURML du 14 janvier 2014 que la concentration d'EtG mesurée dans les cheveux du recourant au mois de juillet 2013 ne peut s'expliquer par une consommation de bière sans alcool, fût-elle durable et excessive; il convient bien plutôt de tenir pour établi que le recourant a consommé de l'alcool postérieurement à la décision du 28 août 2012 - peu important pour le reste à ce stade de déterminer s'il s'agit d'une consommation modérée d'éthanol dans les quatre à six mois ayant précédé le prélèvement, ou d'une consommation répétée et excessive d'éthanol antérieure à cette même période (cf. let. E supra ). L'avis du Prof. Z.________, qui évoque la cessation par le recourant de toute consommation d'alcool, est sans incidence dans ce cadre - aucun élément au dossier ne permettant de considérer que cet avis, qui ne précise au demeurant ni la date ni la durée d'une telle cessation de consommation d'alcool, reposerait sur des analyses objectives et non sur les seules déclarations du recourant lui-même. Cela étant et même s'il n'est pas fait expressément référence à cette disposition dans la décision attaquée, il apparaît que l'autorité intimée a prononcé le retrait de sécurité litigieux en faisant application de l'art. 17 al. 5 LCR. Cette disposition doit être placée dans le schéma d’application suivant: le permis est retiré pour une durée indéterminée en raison d’une inaptitude avérée (art. 16d al. 1 LCR); il peut être restitué à certaines conditions si l’intéressé prouve que son inaptitude a disparu (art. 17 al. 3 LCR); si la personne concernée n'observe pas les conditions posées au maintien de son droit de conduire ou trompe d'une autre manière la confiance mise en elle, un retrait de sécurité peut être prononcé, sans qu'il soit nécessaire de procéder à de nouvelles investigations quant à son aptitude à la conduite (cf. arrêt CR.2012.0047 du 27 décembre 2012 consid. 3e et la référence). En l'occurrence, l'autorité intimée a prononcé un retrait de sécurité par décision du 17 janvier 2012 compte tenu d'une inaptitude liée à une dépendance à l'alcool (art. 16d al. 1 let. b LCR) dûment constatée dans le cadre d'une expertise réalisée par l'UMPT (cf. let. B supra ). Les experts de l'UMPT ayant par la suite estimé, dans le cadre d'une expertise simplifiée, que l'inaptitude avait disparu, le permis de conduire a été restitué au recourant par décision du 28 août 2012, le maintien de son droit de conduire étant toutefois subordonné à différentes conditions (cf. let. C supra ). Dans la mesure où il est établi, comme on l'a déjà vu, que l'intéressé n'a pas observé les conditions posées au maintien de son droit de conduire - en ce sens qu'il a consommé de l'alcool postérieurement à la décision du 28 août 2012 alors même que le maintien de son droit de conduire était soumis à une abstinence stricte de toute consommation d'alcool -, un nouveau retrait de sécurité peut être prononcé, et ce sans qu'il soit nécessaire de procéder à de nouvelles investigations quant à son aptitude à la conduite (cf. TF, arrêt 1C_523/2011 du</w:t>
      </w:r>
    </w:p>
    <w:p>
      <w:r>
        <w:rPr>
          <w:b/>
        </w:rPr>
        <w:t>E. 5</w:t>
      </w:r>
    </w:p>
    <w:p>
      <w:r>
        <w:t>mars 2012 consid. 2.3 et la référence); comme rappelé ci-dessus (consid. 2c), l'observation d'une abstinence de toute consommation d'alcool est le seul moyen permettant à l'intéressé de démontrer qu'il est parvenu à surmonter durablement son inaptitude, de sorte que l'autorité intimée pouvait retenir, compte tenu du non respect de l'abstinence à laquelle était soumis le maintien de son droit de conduire, que le recourant est en l'état réputé présenter une consommation d'alcool problématique persistante. Dans ces conditions, il s'impose de constater que l'autorité intimée n'a pas abusé de son pouvoir d'appréciation en prononçant le retrait de sécurité litigieux, sans qu'il soit nécessaire dans ce cadre de faire droit à la requête de l'intéressé tendant à la mise en œuvre d'une nouvelle expertise destinée à déterminer son aptitude à la conduite. Comme déjà indiqué au consid. 2b de l'arrêt CR.2013.0094 du 15 avril 2014, dès lors que c'est son aptitude à la conduite elle-même qui est remise en cause, le besoin de conduire dont le recourant se prévaut en lien avec l'exercice de son activité professionnelle ne saurait entrer en ligne de compte - pas davantage au demeurant que les problèmes psychologiques évoqués par le Prof. Z.________ dans son avis du 21 mai 2014. 3. Il résulte des considérants qui précèdent que le recours doit être rejeté et la décision sur réclamation attaquée confirmée. Un émolument de 600 fr. est mis à la charge du recourant, qui succombe (cf. art. 49 al. 1 LPA-VD). Compte tenu de l'issue du litige,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