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CR.2014.0037 vom 21. Oktober 2014</w:t>
      </w:r>
    </w:p>
    <w:p>
      <w:r>
        <w:t>VD Tribunal cantonal, 2014-10-21, FR</w:t>
      </w:r>
    </w:p>
    <w:p>
      <w:r>
        <w:rPr>
          <w:b/>
        </w:rPr>
        <w:t xml:space="preserve">Quelle: </w:t>
      </w:r>
      <w:r>
        <w:t>https://mcp.opencaselaw.ch/entscheid/vd_omni_CR.2014.0037</w:t>
      </w:r>
    </w:p>
    <w:p>
      <w:r>
        <w:t>FR: VD_OMNI CR.2014.0037 du 21 octobre 2014</w:t>
      </w:r>
    </w:p>
    <w:p>
      <w:r>
        <w:t>IT: VD_OMNI CR.2014.0037 del 21 ottobre 2014</w:t>
      </w:r>
    </w:p>
    <w:p>
      <w:pPr>
        <w:pStyle w:val="Heading2"/>
      </w:pPr>
      <w:r>
        <w:t>Regeste</w:t>
      </w:r>
    </w:p>
    <w:p>
      <w:r>
        <w:t>X.________ /Service des automobiles et de la navigation | Automobiliste qui, suite au brusque freinage du véhicule qui le précédait, n'est pas parvenu à éviter une collision en raison d'une distance de sécurité insuffisante. Infraction moyennement grave. Retrait d'un mois, correspondant au minimum légal, confirmé.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1C_274/2010 du 7 octobre 2010 consid. 2.1 et les références). Si les faits retenus au pénal lient en principe l'autorité et le juge administratifs, il en va différemment des questions de droit, en particulier de l'appréciation de la faute et de la mise en danger (TF 1C_502/2011 du 6 mars 2012 consid. 2.1; 1C_353/2010 du 12 janvier 2011 consid. 2.1; 1C_274/2010 du 7 octobre 2010 consid. 2.1 et les références). b) En l'occurrence, le recourant a été condamné par ordonnance pénale du 19 décembre 2013. Le recourant n'a pas contesté cette décision, laquelle a été rendue sur la base du rapport de police établi suite à l'accident. Ce n'est que postérieurement, le 4 février 2014, que l'autorité intimée l'a informé de l'ouverture d'une procédure administrative à son encontre. A cette époque, le recourant ne pouvait plus faire valoir ses moyens dans la procédure pénale, qui était close. Cette situation est toutefois sans conséquence, dès lors que le recourant ne conteste pas les faits retenus à son encontre (notamment, le rapport de police ne remet pas en cause ses déclarations selon lesquelles il circulait avant l'accident à une vitesse de 80 km/h à une distance de 50 m de l'automobile qui le précédait, et qu'il n'a pas fait preuve d'inattention), mais la qualification de son infraction par l'autorité intimée, considérant s'être rendu coupable d'une faute légère et non moyennement grave.</w:t>
      </w:r>
    </w:p>
    <w:p>
      <w:r>
        <w:rPr>
          <w:b/>
        </w:rPr>
        <w:t>E. 3</w:t>
      </w:r>
    </w:p>
    <w:p>
      <w:r>
        <w:t>a)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 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TF 6A.16/2006 du 6 avril 2006). b) Selon l'art. 34 al. 4 LCR, le conducteur observera une distance suffisante envers tous les usagers de la route, notamment pour croiser, dépasser et circuler de front ou lorsque des véhicules se suivent. Le sens de cette règle de circulation est avant tout de permettre au conducteur, même en cas de freinage inopiné du véhicule qui précède, de s'arrêter derrière lui (voir TF 6B_281/2013 du 6 juillet 2013, consid. 2.2). Par ailleurs, 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manoeuvrer immédiatement d'une manière appropriée aux circonstances en présence d'un danger quelconque (arrêt CR.2001.0127 et les réf. citées).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secondes) sont des standards minima habituellement reconnus ( ATF 131 IV 133 consid.</w:t>
      </w:r>
    </w:p>
    <w:p>
      <w:r>
        <w:rPr>
          <w:b/>
        </w:rPr>
        <w:t>E. 3.1</w:t>
      </w:r>
    </w:p>
    <w:p>
      <w:r>
        <w:t>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voir ég. TF 1C_502/2011 du 6 mars 2012 consid. 3.1).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lorsque, à une vitesse de 100 km/h, il a suivi le véhicule précédent sur 330 mètres, à une distance de 10 mètres (TF 1C_356/2009 du 12 février 2010) ou encore lorsqu'il a circulé à une vitesse de 100 km/h environ, sur 700 mètres, à une distance située entre 7 et 10 mètres du véhicule le précédant (TF 1C_7/2010 du 11 mai 2010) ou enfin si à la même vitesse il suit sur 500 mètres un véhicule à une distance variant entre 5 et 10 mètres (TF 1C_274/210 du 7 octobre 2010). Ces exemples jurisprudentiels portaient sur des cas où l'automobiliste condamné avait suivi à une distance insuffisante le véhicule qui le précédait, sans pour autant causer un accident. Dans des cas où un automobiliste, devant un brusque ralentissement du trafic, n'a pas pu éviter la collision malgré un freinage d'urgence, la cour de céans considère en général que la faute commise constitue à tout le moins une faute moyenne, car un tel comportement va clairement à l'encontre des règles élémentaires de prudence que se doit de respecter tout conducteur circulant en l'occurrence sur l'autoroute (arrêts CR.2006.0080 du 5 décembre 2006; CR.2002.0259 du 13 septembre 2004; CR.2003.0147 du 15 octobre 2003 et les références). Néanmoins, dans un certain nombre d’arrêts portant sur le non respect de la distance de sécurité sur l’autoroute, la cour de céans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CR.2008.0053 du 19 décembre 2008; CR.2005.0183 du 18 août 2006; CR.2004.0293 du 2 mars 2005 et les références). Enfin, la jurisprudence a précisé que la maîtrise du véhicule d'une manière générale, et plus particulièrement de sa direction, est une règle fondamentale du code de la route dont la violation entraîne une sérieuse mise en danger de la circulation (voir notamment arrêts CR.2012.0066 du 20 novembre 2012; CR.2010.0052 du 14 octobre 2010; CR.2009.0037 du 21 octobre 2009). c) En l'occurrence, suite au brusque freinage de l'automobile qui le précédait, le recourant n'est pas parvenu à éviter une collision, malgré sa tentative d'évitement. Même si le recourant est resté attentif et n'a pas talonné l'autre véhicule à très courte distance, il n'en reste pas moins que la distance de sécurité n'était pas suffisante, puisqu'il n'a pas réussi à s'arrêter sans encombre. Le recourant n'a pas soutenu que le véhicule qu'il a embouti venait de s'intercaler. En perdant ainsi la maîtrise de son véhicule, le recourant a à l'évidence mis en danger la sécurité du trafic (voir ég. arrêt CR.2012.0066 du 20 novembre 2012). Il convient partant d'admettre que la mise en danger ainsi créée par le recourant ne saurait être considérée comme légère. C'est dès lors à juste titre que l'autorité intimée a qualifié de moyennement grave au sens de l'art. 16b LCR l'infraction commise par le recourant.</w:t>
      </w:r>
    </w:p>
    <w:p>
      <w:r>
        <w:rPr>
          <w:b/>
        </w:rPr>
        <w:t>E. 4</w:t>
      </w:r>
    </w:p>
    <w:p>
      <w:r>
        <w:t>En principe, comme déjà vu ci-dessus, après une infraction moyennement grave, le permis d'élève conducteur ou le permis de conduire est retiré pour un mois au moins (art. 16b al. 2 let. a LCR). Cette durée minimale correspond à celle prononcée par l'autorité intimée. Elle doit être confirmée, étant rappelé que le besoin professionnel – établi en l'espèce – ne permet pas de s'écarter de ce minimum (art. 16 al. 3 LCR).</w:t>
      </w:r>
    </w:p>
    <w:p>
      <w:r>
        <w:rPr>
          <w:b/>
        </w:rPr>
        <w:t>E. 5</w:t>
      </w:r>
    </w:p>
    <w:p>
      <w:r>
        <w:t>Il résulte de ce qui précède que mal fondé, le recours doit être rejeté et la décision attaquée confirmée.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