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CR.2014.0036 vom 27. Januar 2015</w:t>
      </w:r>
    </w:p>
    <w:p>
      <w:r>
        <w:t>VD Tribunal cantonal, 2015-01-27, FR</w:t>
      </w:r>
    </w:p>
    <w:p>
      <w:r>
        <w:rPr>
          <w:b/>
        </w:rPr>
        <w:t xml:space="preserve">Quelle: </w:t>
      </w:r>
      <w:r>
        <w:t>https://mcp.opencaselaw.ch/entscheid/vd_omni_CR.2014.0036</w:t>
      </w:r>
    </w:p>
    <w:p>
      <w:r>
        <w:t>FR: VD_OMNI CR.2014.0036 du 27 janvier 2015</w:t>
      </w:r>
    </w:p>
    <w:p>
      <w:r>
        <w:t>IT: VD_OMNI CR.2014.0036 del 27 gennaio 2015</w:t>
      </w:r>
    </w:p>
    <w:p>
      <w:pPr>
        <w:pStyle w:val="Heading2"/>
      </w:pPr>
      <w:r>
        <w:t>Regeste</w:t>
      </w:r>
    </w:p>
    <w:p>
      <w:r>
        <w:t>X.________/Service des automobiles et de la navigation | Commet une infraction grave l'automobiliste qui suit sur une distance supérieure à 1 km, à une vitesse de 100 km/h et à une distance de 15 m (dans l'hypothèse la plus favorable au recourant), le véhicule qui le précède sur l'autoroute dans le but de forcer son conducteur à accélérer ou à se rabattre sur la voie de droite, ce qui ne pouvait être entrepris sans risque concret. Le recourant ayant fait valoir ses moyens dans le cadre de la procédure pénale, en épuisant les voies de recours à sa disposition, on ne voit pas quels autres éléments auraient permis à l'autorité administrative de s'écarter des constatations faites dans l'arrêt de la Cour d'appel pénale du Tribunal cantonal. Retrait du PC pour une durée d'une année confirmé, vu la récidive.</w:t>
      </w:r>
    </w:p>
    <w:p>
      <w:pPr>
        <w:pStyle w:val="Heading2"/>
      </w:pPr>
      <w:r>
        <w:t>Erwägungen</w:t>
      </w:r>
    </w:p>
    <w:p>
      <w:r>
        <w:rPr>
          <w:b/>
        </w:rPr>
        <w:t>E. 1</w:t>
      </w:r>
    </w:p>
    <w:p>
      <w:r>
        <w:t>Le litige porte sur la qualification de l'infraction commise par le recourant le 22 février 2012. a) La loi fédérale du 19 décembre 1958 sur la circulation routière (LCR; RS 741.01) distingue les infractions selon leur gravité.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 c ommet une infraction grave la personne qui, en violant gravement les règles de la circulation, met sérieusement en danger la sécurité d'autrui ou en prend le risque (art. 16c al. 1 let. a LCR). A teneur de l'art. 16c al. 2 let. c LCR, le permis d'élève conducteur ou le permis de conduire est retiré, après une infraction grave, pour douze mois au minimum si, au cours des cinq années précédentes, le permis a été retiré une fois en raison d'une infraction grave ou à deux reprises en raison d'infractions moyennement graves. Dans ce cadre, le délai de récidive est compté à partir du jour où le conducteur est remis au bénéfice du droit de conduire à l'issue de l'exécution de la mesure de retrait ( 1C_731/2013 du 10 décembre 2013 et les réf cités: 1C_520/2013 du 17 septembre 2013 consid. 2.2, 1C_452/2011 du 21 août 2012 consid. 3.8, 1C_106/2011 du 7 juin 2011 consid. 2.3 und 1C_180/2010 du 22 septembre 2010 consid. 2; cf pour l'ancien droit  ATF 119 Ib 154 consid. 2b p. 157; pour le retrait du permis à l'essai: ATF136 II 447 consid.. 5.2 p. 455). b) Selon l'art. 34 al. 4 LCR, le conducteur observera une distance suffisante envers tous les usagers de la route, notamment pour croiser, dépasser et circuler de front ou lorsque des véhicules se suivent. L'art. 12 al. 1 de l'ordonnance fédérale du 13 novembre 1962 sur les règles de la circulation routière (OCR; RS 741.11) prévoit en particulier que lorsque des véhicules se suivent, le conducteur se tiendra à une distance suffisante du véhicule qui le précède, afin de pouvoir s'arrêter à temps en cas de freinage inattendu. Comme tous les intervenants l'ont rappelé dans cette affaire,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Prenant en compte la pratique allemande et la doctrine, la jurisprudence a considéré que le cas pouvait être qualifié de grave lorsque l'intervalle entre les véhicules était inférieur à 0,8, voire à 0,6 seconde ( ATF 131 IV 133 précité, consid. 3.2.2 et les références; arrêt 1C_554/2013 du 17 septembre 2013 consid. 2.2). Ainsi la faute a-t-elle été qualifiée de grave notamment dans le cas d'un automobiliste qui, sur une distance de 800 m environ et à une vitesse supérieure à 100 km/h, avait suivi le véhicule le précédant sur la voie de gauche de l'autoroute avec un écart de moins de 10 m, correspondant à 0,3 seconde de temps de parcours ( ATF 131 IV 133 précité), ou qui, à une vitesse de 100 km/h, avait suivi le véhicule précédent sur 330 m, à une distance de 10 m (arrêt 1C_356/2009 du 12 février 2010), ou encore qui avait circulé à une vitesse de 100 km/h environ, sur 700 m, à une distance située entre 7 et 10 m du véhicule le précédant (arrêt 1C_7/2010 du 11 mai 2010), ou enfin qui, à la même vitesse, avait suivi sur 500 m un véhicule à une distance variant entre 5 et 10 m (arrêt 1C_274/210 du 7 octobre 2010). Dans le même sens, la cour de céans a notamment qualifié de grave la faute d'un automobiliste qui avait suivi sur plusieurs centaines de mètres, sur la voie de gauche de l'autoroute, le véhicule qui le précédait, à une distance d'environ 10 m et à une vitesse de 120 km/h (arrêt CR.2012.0019 du 10 juillet 2012). c)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 2.1 et les références). d) En l'espèce, pour qualifier l'infraction commise le 22 février 2012, l'autorité intimée s'en est tenue aux faits tels qu'ils ont été établis par le juge pénal. Le recourant reproche à cette dernière de n'avoir pas pris en compte les valeurs les plus favorables, tant s'agissant de la distance entre les véhicules que la vitesse de la voiture. L'état de fait de l'arrêt du Tribunal fédéral serait insuffisant pour lier les autorités administratives, car il n'indiquerait que des fourchettes de valeurs basées sur les estimations des policiers, trop floues pour qualifier, sur le plan administratif, l'infraction commise. Il aurait fallu retenir la version la plus favorable et considérer que le recourant avait roulé à une vitesse de 90 km/h à une distance de 15 mètres du véhicule qui le précédait. Mesurée en temps, la distance entre véhicules serait donc de 0,6 seconde. Le palier inférieur posé par la jurisprudence n'ayant pas été franchi, l'infraction reprochée devrait être qualifiée tout au plus de moyennement grave. Par ailleurs, l'autorité administrative aurait dû compléter l'état de fait retenu par le Tribunal fédéral s'agissant des circonstances de l'infraction : il aurait ainsi fallu tenir compte de la météo, de la visibilité, du tracé du tronçon, de l'état de la chaussée et du véhicule pour qualifier l'infraction. Par arrêt du 10 janvier 2014, le Tribunal fédéral a déclaré irrecevable le recours dirigé par X.________ contre l'arrêt du 27 mai 2013 de la Cour d'appel pénale du Tribunal cantonal rejetant son appel interjeté contre le jugement du 4 février 2013 du Tribunal de police de l'arrondissement de Lausanne le condamnant pour violation grave des règles de la circulation routière. Il a considéré que, sur la base des faits retenus, à propos desquels le recourant n'avait formulé aucun grief recevable tiré d'une appréciation arbitraire des preuves, la cour cantonale avait retenu une violation grave des règles de la circulation routière sans violer le droit fédéral. C'est dire que les faits retenus par les autorités pénales au terme d'une procédure ordinaire, qui lient en principe l'autorité administrative, ne sauraient se résumer à l'énoncé succinct de l'état de fait de l'arrêt du 10 janvier 2014 du Tribunal fédéral comme le suggère le recourant. Au contraire, s'agissant des faits pertinents, il faut se référer au considérant 2.2 de la partie droit de l'arrêt du 27 mai 2013 de la Cour d'appel pénale du Tribunal cantonal libellé comme il suit : "Selon le rapport de police du 22 février 2012 (P.4/3), les deux agents qui suivaient l'appelant ont observé ce dernier circulant entre le km 63.400 et le km 64.800, sur la voie de dépassement, à une vitesse située entre 90 et 133 km/h, à une distance clairement insuffisante par rapport au véhicule qui le précédait (ibid., p. 2). Il résulte du visionnement du film effectué par les policiers (P. 10), que la voiture de l'appelant, entre le commencement des images saisies et le début du ralentissement, soit sur une distance supérieure à 1000 mètres, ne s'est à aucun moment éloignée du véhicule qui le précédait de plus de 15 mètres, distance encore très largement favorable à l'intéressé. Les images démontrent en effet deux véhicules dangereusement proches l'un de l'autre et une distance clairement insuffisante entre les deux engins et ce sur plus d'un kilomètre. Il est manifeste qu'en cas de freinage inattendu, le véhicule suiveur n'aurait pas été en mesure de s'arrêter à temps. De plus, l'observation des ombres projetées des véhicules sur le marquage de l'autoroute, dont la longueur standardisée des lignes de direction est de 6 mètres et l'espacement entre les lignes de direction, de 12 mètres (cf. la norme VSS SN 640 854a ch. 9.1 et la norme VSS SN 640 854 de mai 1993 ch. 4 fig.</w:t>
      </w:r>
    </w:p>
    <w:p>
      <w:r>
        <w:rPr>
          <w:b/>
        </w:rPr>
        <w:t>E. 2</w:t>
      </w:r>
    </w:p>
    <w:p>
      <w:r>
        <w:t>C'est à juste titre en conséquence que l'infraction a été qualifiée de grave. L'intéressé ayant fait l'objet d'une précédente mesure de retrait du permis de conduire pour infraction grave dans les cinq années précédant la présente infraction, son permis de conduire doit lui être retiré pour douze mois au minimum, en application de l'art. 16c al. 2 let. c LCR. Le besoin professionnel du véhicule et les autres arguments invoqués par le recourant au sujet de la quotité de la sanction ne permettent pas de prononcer une sanction inférieure au minimum prévu par l'art. 16c LCR.</w:t>
      </w:r>
    </w:p>
    <w:p>
      <w:r>
        <w:rPr>
          <w:b/>
        </w:rPr>
        <w:t>E. 3</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