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CR.2014.0022 vom 22. Juli 2014</w:t>
      </w:r>
    </w:p>
    <w:p>
      <w:r>
        <w:t>VD Tribunal cantonal, 2014-07-22, FR</w:t>
      </w:r>
    </w:p>
    <w:p>
      <w:r>
        <w:rPr>
          <w:b/>
        </w:rPr>
        <w:t xml:space="preserve">Quelle: </w:t>
      </w:r>
      <w:r>
        <w:t>https://mcp.opencaselaw.ch/entscheid/vd_omni_CR.2014.0022</w:t>
      </w:r>
    </w:p>
    <w:p>
      <w:r>
        <w:t>FR: VD_OMNI CR.2014.0022 du 22 juillet 2014</w:t>
      </w:r>
    </w:p>
    <w:p>
      <w:r>
        <w:t>IT: VD_OMNI CR.2014.0022 del 22 luglio 2014</w:t>
      </w:r>
    </w:p>
    <w:p>
      <w:pPr>
        <w:pStyle w:val="Heading2"/>
      </w:pPr>
      <w:r>
        <w:t>Regeste</w:t>
      </w:r>
    </w:p>
    <w:p>
      <w:r>
        <w:t>X.________/Service des automobiles et de la navigation | Rejet du recours contre le retrait de sécurité du permis de conduire de l'intéressé d'une durée indéterminée pour cause de dépendance à l'alcool, aucun élément ne permettant de remettre en cause la pertinence des conclusions des experts de l'UMPT. Recours au TF rejeté par arrêt du 22 juillet 2014 (ATF 1C_328/2014).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doit entrer en matière sur le fond.</w:t>
      </w:r>
    </w:p>
    <w:p>
      <w:r>
        <w:rPr>
          <w:b/>
        </w:rPr>
        <w:t>E. 2</w:t>
      </w:r>
    </w:p>
    <w:p>
      <w:r>
        <w:t>Le recourant conteste la décision de retrait de son permis de conduire en faisant valoir qu'il n'est pas dépendant à l'alcool et qu'il ne conduit jamais en ayant consommé de l'alcool. a) Aux termes de l’art. 14 al. 2 let. c de la loi fédérale du 19 décembre 1958 sur la circulation routière (LCR; RS 741.01), le permis de conduire ne peut être délivré aux candidats qui souffrent d’une forme de dépendance les rendant inaptes à la conduite. Selon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 teneur de l'art. 16d al. 1 let. b LCR, le permis de conduire est retiré pour une durée indéterminée à la personne qui souffre d'une forme de dépendance la rendant inapte à la conduite. b) S'agissant de la notion de dépendance au sens de l'art. 16d al. 1 let. b LCR, singulièrement de dépendance à l'alcool, il résulte de la jurisprudence du Tribunal fédéral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dans la jurisprudence cantonale, cf. notamment arrêt CR. 2013.0111 du 19 mars 2014).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ATF 1C_134/2011 du 14 juin 2011, consid. 2.1). La jurisprudence a précisé les exigences que devait respecter une telle expertise pour constituer une base de décision suffisante en matière de retrait de sécurité: la mise en évidence d'une consommation d'alcool nuisible pour la santé suppose d'abord une analyse de laboratoire où les marqueurs (d'abus) d'alcool CDT, VCM, γ -GT, GOT (ASAT), et GPT (ALAT) sont mesurés ( ATF 129 II 82 consid. 6.2.1 p. 89 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(ATF 139 II 95 consid. 3.4.1; ATF 129 II 82 consid. 6.2.2 p. 90 ss). c) En l'occurrence, il ressort du rapport du 4 février 2014 que les experts n'ont pas procédé à une " enquête d'entourage " de l'intéressé, ce dernier n'ayant pas souhaité que des renseignements soient demandés à des médecins ou à des personnes proches de lui. Les experts ont par contre établi son anamnèse, l'ont entendu sur sa consommation d'alcool et l'ont soumis à différents questionnaires. Ils ont également examiné sa condition physique et ils ont procédé à des analyses de sang et capillaire. Les experts ont dès lors effectué les démarches prescrites par la jurisprudence fédérale, de sorte que leur expertise est complète et qu'on ne voit pas pour quels motifs son contenu devrait être remis en question. Le recourant ne met par ailleurs pas en doute les résultats des analyses figurant dans cette dernière. Lors de son audition par les experts de l'UMPT, le recourant a indiqué avoir une consommation moyenne modérée, puis n'avoir plus du tout consommé d'alcool depuis le 10 décembre 2013. Or, ces déclarations ne concordent pas avec les résultats de l'analyse de son sang qui a révélé des valeurs des isoformes de la CDT spécifiques à l'alcool nettement supérieures à la norme, parlant en faveur d'une consommation de plus de 40 grammes d'éthanol par jour durant les deux à trois semaines ayant précédé l'expertise qui a eu lieu le 7 janvier 2014. L'expertise capillaire a quant à elle révélé la présence d'EtG en quantité élevée, à savoir 182 pg/mg, ce qui représente une consommation chronique et nettement excessive pendant les cinq à huit mois qui ont précédé le prélèvement. Ces résultats prouvent dès lors que le recourant a tendance à minimiser sa consommation d'alcool et n'arrive pas à quantifier cette dernière de façon objective. Cette tendance avait d'ailleurs déjà été constatée dans le passé par les experts de l'UMTR aussi bien dans leur rapport du 2 mars 2004 que dans celui du 28 décembre 2006. Le recourant, qui s'est déjà vu retirer son permis de conduire en raison de problèmes d'alcool, connaissait les enjeux de l'expertise à laquelle il devait se soumettre. Le fait que, malgré ceux-là, il n'ait pas réussi à rester abstinent prouve, comme le relèvent les experts de l'UMPT, qu'il n'arrive pas à contrôler sa consommation d'alcool. Le recourant a certes produit un certificat médical établi le 18 mars 2014, soit postérieurement à l'expertise, et dans lequel son médecin traitant relève que son patient ne présente pas de stigmates de consommation chronique d'alcool et que le contrôle effectué "par surprise" est négatif pour l'alcool. On ignore cependant comment s'est déroulé cet unique contrôle dit "par surprise" , de sorte qu'il ne saurait suffire à remplacer les contrôles prévus par la décision de retrait de sécurité du permis de conduire. Le recourant fait également valoir que, depuis qu'il a récupéré son permis de conduire le 9 janvier 2007, il a été contrôlé à de nombreuses reprises par la police, mais qu'il n'a jamais été dénoncé pour conduite en état d'ébriété. On ignore cependant combien de fois il a été contrôlé et à quelle période. Cet argument ne saurait de toute façon suffire à lever le doute sur sa capacité à dissocier sa consommation d'alcool avec la conduite d'un véhicule automobile, dans la mesure où, comme relevé ci-dessus, le recourant n'a pas réussi à rester abstinent voire même à diminuer sa consommation d'alcool durant la période où son aptitude à la conduite était évaluée et où était précisément examinée la question d'une dépendance à l'alcool. Le recourant n'apporte dès lors aucun élément permettant de remettre en cause la pertinence des conclusions des experts de l'UMPT. L'autorité intimée était ainsi fondée, sur la base de ce rapport d'expertise, qui réunit l'ensemble des conditions posées par la jurisprudence, de prononcer le retrait de sécurité du permis de conduire du recourant.</w:t>
      </w:r>
    </w:p>
    <w:p>
      <w:r>
        <w:rPr>
          <w:b/>
        </w:rPr>
        <w:t>E. 3</w:t>
      </w:r>
    </w:p>
    <w:p>
      <w:r>
        <w:t>Manifestement mal fondé, le recours doit être rejeté et la décision attaquée confirmée, sans qu'il soit nécessaire de procéder à un échange d'écritures (art. 82 al. 1 LPA-VD).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