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CR.2014.0018 vom 11. August 2014</w:t>
      </w:r>
    </w:p>
    <w:p>
      <w:r>
        <w:t>VD Tribunal cantonal, 2014-08-11, FR</w:t>
      </w:r>
    </w:p>
    <w:p>
      <w:r>
        <w:rPr>
          <w:b/>
        </w:rPr>
        <w:t xml:space="preserve">Quelle: </w:t>
      </w:r>
      <w:r>
        <w:t>https://mcp.opencaselaw.ch/entscheid/vd_omni_CR.2014.0018</w:t>
      </w:r>
    </w:p>
    <w:p>
      <w:r>
        <w:t>FR: VD_OMNI CR.2014.0018 du 11 août 2014</w:t>
      </w:r>
    </w:p>
    <w:p>
      <w:r>
        <w:t>IT: VD_OMNI CR.2014.0018 del 11 agosto 2014</w:t>
      </w:r>
    </w:p>
    <w:p>
      <w:pPr>
        <w:pStyle w:val="Heading2"/>
      </w:pPr>
      <w:r>
        <w:t>Regeste</w:t>
      </w:r>
    </w:p>
    <w:p>
      <w:r>
        <w:t>X.________/Service des automobiles et de la navigation | Alors qu'il circulait sur la voie de gauche de l'A1, le recourant n'est pas parvenu, malgré un freinage énergique, à éviter la collision avec le véhicule qui le précédait et qui avait ralenti son allure avant de s'immobiliser puisque le trafic devant lui était arrêté. Il ne peut soutenir avoir été surpris par le ralentissement du véhicule le précédant; le trafic sur l'A1 était particulièrement dense à cet endroit, ce qui appelait de sa part de devoir freiner à tout moment. En outre, le recourant a mis en danger d'autres usagers de la route puisque, sous l'effet du choc, le véhicule arrêté devant lui a été projeté contre celui qui le précédait. Faute moyennement grave confirmée.</w:t>
      </w:r>
    </w:p>
    <w:p>
      <w:pPr>
        <w:pStyle w:val="Heading2"/>
      </w:pPr>
      <w:r>
        <w:t>Erwägungen</w:t>
      </w:r>
    </w:p>
    <w:p>
      <w:r>
        <w:rPr>
          <w:b/>
        </w:rPr>
        <w:t>E. 1</w:t>
      </w:r>
    </w:p>
    <w:p>
      <w:r>
        <w:t>Le recourant conteste en premier lieu la faute de circulation qui lui a été reprochée. Selon ses explications, l’on ne saurait lui reprocher de ne pas avoir observé, en la circonstance du cas d’espèce, une distance insuffisante; il ne voit du reste pas quelle mesure il pouvait concrètement adopter pour éviter l’accident avec le véhicule qui le précédait. a)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96 I 766 consid. 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129 II 312 consid. 2.4; 123 II 97 consid. 3c/aa; 119 Ib 158 consid. 3c/aa; 105 Ib 18 consid. 1a; 101 Ib 270 consid. 1b; 96 I 766 consid. 5). Cela vaut notamment lorsque la décision pénale a été rendue dans une procédure sommaire (ordonnance de condamnation) ou qu‘elle se fonde uniquement sur le rapport de police et que les témoins n'ont pas été formellement interrogés, mais entendus par des agents de police en l'absence de l'accusé. Il en va ainsi, notamment, lorsque l'accusé savait ou devait s'attendre, à raison de la gravité des faits qui lui sont reprochés, à ce que soit également engagée contre lui une procédure de retrait de permis. Dans cette situation, la personne impliquée est tenue, conformément aux règles de la bonne foi, de faire valoir ses griefs éventuels et ses moyens de preuve dans la procédure pénale sommaire, ainsi qu'à épuiser, en cas de besoin, les voies de droit existantes. Elle ne peut attendre la procédure administrative pour exposer ses arguments (ATF 1C_762/2013 du 27 février 2014 consid. 2.2; 136 II 447 consid. 3.1 p. 451; 123 II 97 consid. 3c/aa p. 104; 121 II 214 consid. 3a p. 217). b) Ainsi qu’on l’a vu plus haut, le Préfet a constaté qu’en l’occurrence, le recourant avait commis une violation simple des règles de la circulation routière en ne respectant pas une distance suffisante, alors qu’il circulait en file, perdant ainsi la maîtrise de son véhicule. Or, cette ordonnance pénale n’a pas été attaquée et est par conséquent définitive. Il convient dès lors de s'en tenir aux faits tels qu'ils ont été établis dans cette ordonnance pénale. Au surplus, le recourant n’apporte aucun élément de fait nouveau et ses explications sont spécieuses; l’art. 12 al. 1 OCR prescrit expressément au conducteur, lorsque des véhicules se suivent, de se tenir à une distance suffisante du véhicule qui le précède, afin de pouvoir s'arrêter à temps en cas de freinage inattendu. En outre, l’art. LCR exige de celui-ci qu’il reste constamment maître de son véhicule de façon à pouvoir se conformer au devoir de la prudence et voue son attention à la route et à la circulation. Ce sont précisément ces deux règles dont le recourant s’est affranchi dans le cas d’espèce, ce qui a eu pour conséquence qu’il n’est pas parvenu à éviter la collision avec le véhicule qui le précédait et qui s’était immobilisé puisque le trafic était à l’arrêt. Peu importe à cet égard qu’un conducteur téméraire aurait pu profiter d’une distance suffisante entre les deux véhicules pour changer de file et intercaler le sien, manœuvre fort périlleuse au demeurant et tout autant fautive, voire davantage. Le recourant se plaint dès lors en vain de ce qu’une faute de circulation lui ait été reprochée.</w:t>
      </w:r>
    </w:p>
    <w:p>
      <w:r>
        <w:rPr>
          <w:b/>
        </w:rPr>
        <w:t>E. 2</w:t>
      </w:r>
    </w:p>
    <w:p>
      <w:r>
        <w:t>En second lieu, le recourant se plaint de la qualification de cette faute, telle que l’autorité intimée l’a retenue dans la décision attaquée. a) Si l'autorité administrative est en principe liée par les faits retenus par le juge pénal, il n'en va pas de même pour ce qui concerne les questions de droit, en particulier l'appréciation de la faute (arrêts CR.2012.0005 du 7 juin 2012 consid. 2; CR.2009.0005 du 6 janvier 2010 consid. 1c; ATF 1C_585/2008 du 14 mai 2009 consid. 3.1; 1C_71/2008 du 31 mars 2008 consid. 2.1). Or, en l'espèce, c'est bien à l'appréciation différente d'une question de droit que le recourant fait allusion, puisqu'il s'agit de l'appréciation de la gravité de la faute qu'il a commise et de la qualification de l'infraction dans le contexte de l'application des art. 16a ss LCR. b) On rappelle que, dans le système de la LCR, la durée du retrait de permis est fonction de la qualification de l'infraction commise, qui peut être légère, moyennement grave ou grave. aa)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 dd) Comme l’a jugé le Tribunal fédéral, le législateur a conçu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qualifier de légère ou au contraire de grave ne sont pas réunis. Tel est par exemple le cas lorsque la faute est grave et la mise en danger bénigne ou, inversement, si la faute est légère et la mise en danger grave (ATF 135 II 138 consid. 2.2.2; 1C_27/2012 du 3 juillet 2012 consid. 3.1; 6A.16/2006 du 6 avril 2006 consid. 2.1; FF 1999 IV 4132 et 4134; voir également sur cette question: René Schaffhauser, Die neuen Administrativmassnahmen des Strassenverkehrsgesetzes, in: Jahrbuch zum Strassenverkehrsrecht, Saint-Gall 2003, p. 186; pour une catégorisation plus exhaustive des cas moyennement graves, cf. Cédric Mizel, Les nouvelles dispositions légales sur le retrait du permis de conduire, in: RDAF 2004 I p. 361 et ss, not. 392). c) Dans le cas présent, l'autorité intimée ne s'est pas écartée de l'appréciation juridique du Préfet. En effet, si l'art. 90 ch. 2 LCR correspond à l'infraction grave prévue à l'art. 16c LCR, l'art. 90 ch. 1 LCR recouvre, pour sa part, les deux hypothèses de l'infraction légère ou moyennement grave prévues aux art. 16a et 16b LCR (ATF 128 II 139 consid. 2c; arrêts CR.2012.0034 du 25 septembre 2012;  CR.2008.0034 du 2 mars 2009). Or, c'est bien en application de l'art. 90 ch. 1 LCR que le prononcé préfectoral a infligé une amende au recourant, comme on l’a vu plus haut. aa) Le recourant fait cependant valoir que les infractions qui lui sont reprochées devraient être qualifiées de légères au sens de l’art. 16a LCR.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op. cit., p. 387). En revanche, le législateur conçoit l’art. 16b al. 1 let. a LCR relatif au retrait du permis de conduire après une infraction moyennement grave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(cf. Mizel, op. cit. p. 392; ATF 136 II 447 consid. 3.2; 135 II 138 consid. 2.2.2; 6A.16/2006 du 6 avril 2006 consid. 2.1.1, et les références citées, arrêts CR.2012.0004 du 8 mars 2012 consid. 2a; CR.2011.0035 du 21 novembre 2011, consid. 7a; CR.2010.0052 du 14 octobre 2010 consid. 1). bb) En vertu de l'art. 31 al. 1 LCR, le conducteur devra rester constamment maître de son véhicule de façon à pouvoir se conformer au devoir de la prudence. Il vouera son attention à la route et à la circulation (art. 3 al. 1, 1 ère phrase, OCR). En outre, selon l'art. 34 al. 4 LCR, le conducteur observera une distance suffisante envers tous les usagers de la route, notamment pour croiser, dépasser et circuler de front ou lorsque des véhicules se suivent. L'art. 12 al. 1 OCR prévoit que lorsque des véhicules se suivent, le conducteur se tiendra à une distance suffisante du véhicule qui le précède, afin de pouvoir s'arrêter à temps en cas de freinage inattendu.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"demi compteur" (correspondant à un intervalle de 1,8 seconde) sont des standards minima habituellement reconnus (ATF 131 IV 133 consid. 3.1 p. 135). Prenant en compte la pratique allemande et la doctrine, la jurisprudence du Tribunal fédéral a considéré que le cas peut être grave lorsque l'intervalle entre les véhicules est inférieur à 0,8 voire 0,6 seconde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ou lorsque, à une vitesse de 100 km/h, il a suivi le véhicule précédent sur 330 mètres, à une distance de 10 mètres (ATF 1C_356/2009 du 12 février 2010) ou encore lorsqu'il a circulé à une vitesse de 100 km/h environ, sur 700 mètres, à une distance située entre 7 et 10 mètres du véhicule le précédant (ATF 1C_7/2010 du 11 mai 2010) ou si à la même vitesse il suit sur 500 mètres un véhicule à une distance variant entre 5 et 10 mètres (ATF 1C_274/210 du 7 octobre 2010), ou enfin lorsqu’un automobiliste est suivi sur l'autoroute, à une vitesse d'environ 110 km/h, le véhicule précédent à une distance oscillant entre cinq et dix mètres, sur une distance d'environ 1'200 mètres (ATF 1C_502/2011 du 6 mars 2012). La maîtrise du véhicule d'une manière générale, et plus particulièrement de sa direction, est une règle fondamentale du code de la route dont la violation entraîne une sérieuse mise en danger de la circulation (cf. notamment arrêts CR.2010.0052 du 14 octobre 2010; CR.2009.0037 du 21 octobre 2009; CR.2007.0134 du 4 août 2008). S'agissant d'un tracteur roulant à une distance insuffisante du véhicule qui le précédait, qui n'était pas parvenu à éviter la collision avec ce dernier (arrêté à un feu rouge), le Tribunal cantonal a ainsi jugé que la mise en danger ne pouvait être qualifiée de légère. Si les conséquences de la collision étaient relativement peu importantes, elles auraient pu être beaucoup plus graves si le véhicule en cause avait été précédé d'un motocycliste ou d'un cycliste (arrêt CR.2012.0066 du 20 novembre 2012). Selon les circonstances particulières du cas concret, le Tribunal fédéral a toutefois jugé qu’une perte de maîtrise peut constituer un cas de peu de gravité (ATF 127 II 302 consid. 3 p. 304). Il n'est en effet pas exclu qu'elle ne cause qu’une mise en danger légère au sens de l’art. 16a al. 1 let. a LCR (ATF 1C_235/2007 du 29 novembre 2007, consid. 2.2 et les références citées). En lien avec l'examen de la gravité de la faute, le Tribunal administratif a jugé, dans un arrêt CR.2006.0014 du 23 août 2006, que seul un avertissement devait être prononcé à l'encontre d'une conductrice qui, sous l'effet de la surprise causée par le brusque ralentissement du trafic et d'une mauvaise appréciation de la situation (croyant à tort que la file des véhicules n'était pas à l'arrêt, mais seulement ralentie), freine mais pas suffisamment (ou trop tardivement) pour éviter de heurter le véhicule la précédant (cf. voir également l'arrêt CR.2008.0173 du 5 septembre 2008, dans lequel le Tribunal a admis que la perte de maîtrise sur l'autoroute, due à un aveuglement solaire subit et ayant entraîné une collision en chaîne dans un trafic dense et ralenti, était constitutive d'une faute légère). Le Tribunal fédéral a en revanche retenu qu'un conducteur qui n'avait pas remarqué qu'une colonne de véhicules s'était formée devant lui à un carrefour à feux, et avait embouti le véhicule qui le précédait, avait commis une faute moyennement grave (ATF 1C_75/2007 du 13 septembre 2007; cf. également ATF 135 II 138). d) Il est vrai qu’en l’espèce, la distance entre le véhicule du recourant et celui qui le précédait n’a pas été évaluée. Les constatations du rapport de dénonciation sont à l’évidence insuffisantes pour qu’une valeur puisse être retenue sur ce point. Il n’est donc pas possible de retenir que l 'intervalle entre les deux véhicules était nettement insuffisant pour permettre au conducteur de réagir en cas de besoin. C’est par conséquent de façon hâtive qu’il a été reproché au recourant de ne pas avoir maintenu une distance suffisante avec le véhicule qui le précédait. L’admission du recours n’en résulte pas pour autant, puisqu’une perte de maîtrise de son véhicule doit lui être assurément reprochée. Le recourant n’est en effet pas parvenu, malgré un freinage énergique, à éviter la collision avec le véhicule qui le précédait et qui avait ralenti son allure avant de s’immobiliser, puisque le trafic devant lui était arrêté. Or, il ne peut soutenir avoir été surpris par le ralentissement du véhicule le précédant. Le trafic sur l’A1 était particulièrement dense à cet endroit, ce que le recourant admet du reste, ce qui appelait de sa part de devoir freiner à tout moment. Le recourant, qui ne pouvait ignorer ce qui précède, devait ainsi faire preuve d'une prudence et d'une attention accrues à la circulation. A cela s’ajoute qu’ en heurtant le véhicule qui était arrêté devant lui qui, sous l'effet du choc, fut projeté contre le véhicule qui le précédait, le recourant a concrètement mis en danger d'autres usagers de la route. De telles collisions par l'arrière peuvent entraîner de graves blessures, telles que le coup de lapin. L’on excède ainsi largement le cadre d'une simple "touchette" à vitesse réduite. Ainsi, la faute commise ne peut être qualifiée de légère, dès lors qu'elle résulte d'une inattention, qui ne se justifie au demeurant par aucune circonstance non imputable au recourant (dans le même sens, arrêt CR.2013.0012 du 24 mai 2013). L'autorité intimée a dès lors à juste titre considéré qu'une faute moyennement grave pouvait lui être reprochée. e) Il n’est pas nécessaire d’examiner la pertinence du besoin professionnel du permis de conduire invoqué par l’intéressé, puisqu’au vu de ses antécédents, il n’est de toute façon pas possible de réduire la durée de la mesure prononcée par l’autorité intimée à son égard (art. 16 al. 3 LCR). En effet, l’autorité intimée s’est contentée de la mesure minimale que lui permet l’ art. 16b al. 2 let. b LCR, à savoir quatre mois de retrait, puisqu’au cours des deux années précédentes, le permis lui a été retiré une fois en raison d'une infraction grave.</w:t>
      </w:r>
    </w:p>
    <w:p>
      <w:r>
        <w:rPr>
          <w:b/>
        </w:rPr>
        <w:t>E. 3</w:t>
      </w:r>
    </w:p>
    <w:p>
      <w:r>
        <w:t>Les considérants qui précèdent conduisent au rejet du recours et à la confirmation de la décision attaquée. Les frais sont mis à la charge du recourant, qui au surplus ne saurait prétendre à l’allocation de dépens (art. 49 al. 1, 55 al. 1 a contrario et 91 de la loi du 28 octobre 2008 sur la procédure administrative [ LPA-VD; RSV 173.36 ]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