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CR.2014.0010 vom 14. Januar 2015</w:t>
      </w:r>
    </w:p>
    <w:p>
      <w:r>
        <w:t>VD Tribunal cantonal, 2015-01-14, FR</w:t>
      </w:r>
    </w:p>
    <w:p>
      <w:r>
        <w:rPr>
          <w:b/>
        </w:rPr>
        <w:t xml:space="preserve">Quelle: </w:t>
      </w:r>
      <w:r>
        <w:t>https://mcp.opencaselaw.ch/entscheid/vd_omni_CR.2014.0010</w:t>
      </w:r>
    </w:p>
    <w:p>
      <w:r>
        <w:t>FR: VD_OMNI CR.2014.0010 du 14 janvier 2015</w:t>
      </w:r>
    </w:p>
    <w:p>
      <w:r>
        <w:t>IT: VD_OMNI CR.2014.0010 del 14 gennaio 2015</w:t>
      </w:r>
    </w:p>
    <w:p>
      <w:pPr>
        <w:pStyle w:val="Heading2"/>
      </w:pPr>
      <w:r>
        <w:t>Regeste</w:t>
      </w:r>
    </w:p>
    <w:p>
      <w:r>
        <w:t>X.________ /Service des automobiles et de la navigation | Confirmation du retrait du permis de conduire d'une durée d'un mois prononcé à l'encontre d'un conducteur qui, dans le cadre d'un carambolage impliquant plusieurs dizaines de véhicules survenu sur l'autoroute A9 en 2013 alors que la visibilité était restreinte en raison des conditions météorologiques (pluie et brouillard), est entré en collision avec un véhicule qui le précédait. En vertu des art. 31 al. 1 et 32 al. 1 LCR ainsi que 4 al. 1 OCR, il incombait au recourant, comme à tout conducteur, de faire preuve d'une attention et d'une prudence accrues et d'adapter sa vitesse aux circonstances, afin de pouvoir cas échéant arrêter son véhicule à tout moment. Or l'intéressé n'est pas parvenu, malgré un freinage d'urgence, à éviter la collision avec le véhicule qui le précédait et qui s'était immobilisé car le trafic devant lui était à l'arrêt. La vitesse à laquelle le recourant circulait était ainsi inadaptée aux circonstances et ne lui a pas permis de se conformer à son devoir de prudence (consid. 4). S'agissant de l'examen de la gravité de la faute commise par le recourant, une négligence pour le moins peut être reprochée à l'intéressé, sans qu'il soit nécessaire de trancher entre faute légère ou moyenne, dès lors que la mise en danger créée par le comportement du recourant apparaît plutôt grave (consid. 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invoque le droit d'être entendu, sans toutefois préciser clairement son grief à cet égard.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Cst. (Constitution fédérale du 18 avril 1999;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l'espèce, le recourant a bénéficié, tant en première instance que dans le cadre de la présente procédure, de la possibilité de se déterminer sur le dossier et sur les arguments invoqués par l'autorité intimée. Son droit d'être entendu a ainsi été respecté et le Tribunal de céans s'estime suffisamment renseigné au vu du dossier de la cause pour statuer sans plus ample instruction.</w:t>
      </w:r>
    </w:p>
    <w:p>
      <w:r>
        <w:rPr>
          <w:b/>
        </w:rPr>
        <w:t>E. 3</w:t>
      </w:r>
    </w:p>
    <w:p>
      <w:r>
        <w:t>Le recourant conteste la sanction retenue par l'autorité intimée, ainsi que les faits retenus à son encontre. a)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précité consid. 2.3.2 p. 368 et les réf. cit.).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 cit.).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Si les faits retenus au pénal lient donc en principe l'autorité et le juge administratifs, il en va différemment des questions de droit, en particulier de l'appréciation de la faute et de la mise en danger (TF 1C_280/2012 du 28 juin 2013 consid. 2.1; 1C_353/2010 du 12 janvier 2011 consid. 2.1 et les réf. cit. ). b) En l'espèce, l'autorité intimée ne s'est pas écartée des faits constatés par le juge pénal. Ce dernier a retenu que le recourant s’était rendu coupable de violation des règles de la circulation routière (art. 31 al. 1 et 32 al. 1 LCR ainsi que 4 al. 1 de l’ordonnance du 13 novembre 1962 sur les règles de la circulation routière [OCR; RS 741.11]) en circulant à une vitesse inadaptée aux conditions atmosphériques au volant d’un véhicule automobile, entraînant un accident. Le recourant ne fait pas valoir de faits nouveaux ou de nouveaux moyens de preuve. Il critique plutôt l'appréciation des faits tels qu’ils ont été consignés dans le rapport de police établi à la suite du carambolage du 30 mars 2013. L e recourant ne remet toutefois pas en cause le déroulement fondamental des faits résultant de cette pièce. Ainsi, il admet avoir circulé à une vitesse de 70 à 80 km/h en sortant du tunnel de La Criblette; il ne conteste pas que la visibilité était restreinte en raison des conditions météorologiques du moment, principalement du brouillard; il ne conteste pas avoir effectué un freinage d’urgence mais que son véhicule ne s’est pas arrêté avant les véhicules qui le précédaient mais est entré en collision avec le véhicule identifié sous le n° 6 dans le rapport de police, qui était immobilisé au moment de l’impact; enfin, il ne conteste pas que son véhicule est venu s’encastrer sous le véhicule précité, lequel sous l’impact a heurté l’arrière du véhicule identifié sous le n° 5 dans le rapport de police. En revanche, l e recourant conteste avoir circulé à une vitesse inadaptée aux circonstances du moment , avoir effectué une manœuvre désespérée d’évitement et avoir frotté la glissière de sécurité; il tend en outre à relativiser la violence du choc lors de la collision entre son véhicule et le véhicule n° 6 et à expliquer par certaines caractéristiques de construction des véhicules impliqués que son véhicule soit venu s’encastrer sous un autre; enfin, il soutient qu’il ne pleuvait pas ou que légèrement lors de l’accident. Ce faisant, le recourant ne fait essentiellement qu’opposer sa propre appréciation des faits à la version résultant du rapport de police, sans établir que cette dernière serait erronée ou incomplète, à l'exception du fait qu'il conteste avoir frotté la glissière. Partant, le recourant ne présente pas d’élément de nature à remettre en cause les faits retenus par l'autorité intimée, étant rappelé que cette dernière demeure libre de se prononcer sur l es questions de droit, en particulier l'appréciation de la faute et de la mise en danger.</w:t>
      </w:r>
    </w:p>
    <w:p>
      <w:r>
        <w:rPr>
          <w:b/>
        </w:rPr>
        <w:t>E. 4</w:t>
      </w:r>
    </w:p>
    <w:p>
      <w:r>
        <w:t>a) L'art. 31 al. 1 LCR prévoit que le conducteur devra rester constamment maître de son véhicule de façon à pouvoir se conformer aux devoirs de la prudence. Aux termes de l'art. 32 al. 1 1 ère phrase LCR, la vitesse doit toujours être adaptée aux circonstances, notamment aux particularités du véhicule et du chargement, ainsi qu'aux conditions de la route, de la circulation et de la visibilité. En outre, l’art. 4 al. 1 1 ère phrase OCR précise que le conducteur ne doit pas circuler à une vitesse qui l'empêcherait de s'arrêter sur la distance à laquelle porte sa visibilité. La maîtrise du véhicule signifie que le conducteur doit être à tout moment en mesure d’actionner rapidement les commandes de son véhicule en mouvement, de façon à manœuvrer immédiatement d’une manière appropriée aux circonstances en présence d’un danger quelconque (Bussy/Rusconi, Code suisse de la circulation routière, Commentaire, 3 ème éd. Lausanne 1996, n. 2 ad art. 31 LCR, pp. 293-294, et les références citées). L’observation de la règle de l’adaptation de la vitesse aux circonstances est la première condition de la maîtrise du véhicule. S’il veut pouvoir se conformer aux règles de la prudence, le conducteur devra en effet, avant tout, adapter sa vitesse, pour qu’elle ne constitue ni une cause d’accident ni une gêne excessive pour la circulation (idem, n. 1.1 ad. art. 32 LCR, p. 303). Selon la jurisprudence (TF 6A.46/2005 du 12 octobre 2005 consid. 3.2.2), la règle de l'art. 32 al. 1 1 ère phrase LCR implique notamment qu'on ne peut circuler à la vitesse maximale autorisée que si les conditions de la route, du trafic et de la visibilité sont favorables (ATF 121 IV 286 consid. 4b).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127 IV 34 consid. 3c/bb p. 44; 122 IV 225 consid. 2b p. 228; 103 IV 101 consid. 2b p. 104). b) En l’occurrence, i l est établi que le carambolage survenu sur l’autoroute le 30 mars 2013 a eu lieu en fin de matinée, en présence d’une circulation relativement dense, alors que des conditions météorologiques particulièrement difficiles régnaient,  restreignant fortement la visibilité et provoquant des ralentissements du trafic. Il peut assurément être reproché au recourant d’avoir perdu la maîtrise de son véhicule, puisqu’il n’est pas parvenu, malgré un freinage d’urgence, à éviter la collision avec le véhicule qui le précédait et qui s’était immobilisé car le trafic devant lui était à l’arrêt. C’est à tort que le recourant prétend que l’accident était dû à une situation climatique extraordinaire et non prévisible entraînant une collision inévitable. En effet, de telles conditions météorologiques, si elles sont peu fréquentes, ne s’avèrent cependant pas exceptionnelles et ne constituent pas un événement extraordinaire propre à interrompre tout lien de causalité entre le comportement du recourant et la collision survenue. Il incombait par conséquent au recourant, comme à tout conducteur d'ailleurs, de faire preuve d’une attention et d’une prudence accrues et d’adapter sa vitesse aux circonstances, afin de pouvoir cas échéant arrêter son véhicule à tout moment. Le rapport de police indique qu’à l’endroit de l’accident, où la vitesse était limitée à 120 km/h, la chaussée présentait les caractéristiques habituelles de l’autoroute et que son revêtement, bitumineux et en bon état d’entretien, était propre et mouillé. D'autres conducteurs, en particulier ceux des véhicules n os</w:t>
      </w:r>
    </w:p>
    <w:p>
      <w:r>
        <w:rPr>
          <w:b/>
        </w:rPr>
        <w:t>E. 5</w:t>
      </w:r>
    </w:p>
    <w:p>
      <w:r>
        <w:t>L'autorité intimée a retenu une infraction moyennement grave au sens de l'art. 16b LCR. a) La loi fait la distinction entre les cas de peu de gravité (art. 16a LCR), les cas de gravité moyenne (art. 16b LCR) et les cas graves (art. 16c LCR). aa)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L'infraction grave au sens de l'art. 16c al. 1 let. a LCR est ainsi subordonnée à la double gravité de la faute commise et de la mise en danger objective (cf. Cédric Mizel, Les nouvelles dispositions légales sur le retrait du permis de conduire, in RDAF 2004 I 361 et ss, not. 395). Conformément à l’art. 16c al. 2 let. a LCR, le permis de conduire est retiré pour trois mois au minimum après une infraction grave. bb)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Mizel, op. cit., not. 392; TF 1C_548/2012 du 6 août 2013 consid. 3.1; ATF 135 II 138 consid. 2.2.2; TF 6A.16/2006 du 6 avril 2006 consid. 2.1.1, in JT 2006 I 442). b) La maîtrise du véhicule d'une manière générale, et plus particulièrement de sa direction, est une règle fondamentale du code de la route dont la violation entraîne une sérieuse mise en danger de la circulation (cf. notamment arrêts CR.2010.0052 du 14 octobre 2010; CR.2009.0037 du 21 octobre 2009; CR.2007.0134 du 4 août 2008). Selon les circonstances particulières du cas concret, le Tribunal fédéral a toutefois jugé qu’une perte de maîtrise peut constituer un cas de peu de gravité (ATF 127 II 302 consid. 3). Il n'est en effet pas exclu qu'elle ne cause qu’une mise en danger légère au sens de l’art. 16a al. 1 let. a LCR (TF 1C_235/2007 du 29 novembre 2007 consid. 2.2 et les références citées). En lien avec l'examen de la gravité de la faute, le Tribunal administratif a jugé, dans un arrêt CR.2006.0014 du 23 août 2006, que seul un avertissement devait être prononcé à l'encontre d'une conductrice qui, sous l'effet de la surprise causée par le brusque ralentissement du trafic et d'une mauvaise appréciation de la situation (croyant à tort que la file des véhicules n'était pas à l'arrêt, mais seulement ralentie), freine mais pas suffisamment (ou trop tardivement) pour éviter de heurter le véhicule la précédant (cf. voir également l'arrêt CR.2008.0173 du 5 septembre 2008, dans lequel le Tribunal a admis que la perte de maîtrise sur l'autoroute, due à un aveuglement solaire subit et ayant entraîné une collision en chaîne dans un trafic dense et ralenti, était constitutive d'une faute légère). Le Tribunal fédéral a en revanche retenu qu'un conducteur qui n'avait pas remarqué qu'une colonne de véhicules s'était formée devant lui à un carrefour à feux, et avait embouti le véhicule qui le précédait, avait commis une faute moyennement grave (TF 1C_75/2007 du 13 septembre 2007; cf. également ATF 135 II 138). D'une manière générale, l'expérience enseigne que la plupart des fautes à l'origine de pertes de maîtrise - ou d'autres infractions - dues à l'inattention ou à une vitesse inadaptée relèvent de la faute moyennement grave (cf. Mizel, op. cit., ch. 30 p. 377 et les arrêts cités) et constituent une mise en danger moyennement grave également (idem, ch. 51 p. 391). c) En l’espèce, l’autorité intimée a considéré que l’infraction commise par le recourant devait être qualifiée de moyennement grave, dès lors que tous les éléments constitutifs qui permettent de la qualifier de légère ou, au contraire, de grave, n’étaient pas réunis. Le comportement du recourant a mis sérieusement en danger la sécurité d'autrui, comme en témoigne la collision avec le véhicule n° 6, qui sous l’impact est lui-même venu heurter l’arrière du véhicule n° 5. Il est à cet égard notoire que le fait de percuter un véhicule représente un risque élevé de blessures pour les personnes impliquées (TF 1C_548/2012 du 6 août 2013 consid. 3.3; 1C_27/2012 du 3 juillet 2012 consid. 3.3). Si aucun blessé n’est formellement résulté de la collision entre les véhicules n os 7, 6 et 5 (bien que la conductrice de ce dernier véhicule ait fait état de douleurs à la nuque après l’accident), il n’en demeure pas moins que l'état final des véhicules témoigne d’un choc conséquent, en particulier celui du recourant. La mise en danger créée par le comportement de l’intéressé ne saurait par conséquent être tenue pour légère, mais plutôt pour grave. Quant à la faute, une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(cf. Mizel, op. cit., p. 387). Dans le cas présent, les conditions météorologiques et la densité du trafic nécessitaient une attention et une prudence accrues. Le recourant a d'ailleurs perçu les particularités des circonstances et les a prises en considération puisqu'il a adapté son allure à une vitesse d’environ 80 km/h, soit bien en dessous de la vitesse maximale autorisée. Il ne l’a toutefois fait qu’imparfaitement, puisque malgré cela, il n’a pas pu éviter d’entrer en collision avec le véhicule qui le précédait, contrairement à d'autres conducteurs directement impliqués dans la même phase du carambolage. Une négligence pour le moins peut lui être reprochée, sans qu'il soit nécessaire de trancher entre faute légère ou moyenne, dès lors que la mise en danger apparaît plutôt grave. d) C’est partant à juste titre que l'autorité intimée a retenu une infraction moyennement grave au sens de l'art. 16 let. b LCR.</w:t>
      </w:r>
    </w:p>
    <w:p>
      <w:r>
        <w:rPr>
          <w:b/>
        </w:rPr>
        <w:t>E. 6</w:t>
      </w:r>
    </w:p>
    <w:p>
      <w:r>
        <w:t>a) Après une infraction moyennement grave, le permis de conduire est retiré pour un mois au minimum (art. 16b al. 2 let. a LCR). Aux termes de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Dans les cas d'application de l'art. 16b LCR, il n'est ainsi pas possible, même dans des circonstances particulières, de retirer le permis de conduire pour une durée inférieure aux durées minimales prévues par cette disposition (TF 6A.100/2006 du 28 mars 2007 consid. 4 et ATF 132 II 234 consid. 2 cité dans CR.2008.0197 du 17 mars 2009 consid. 4e; CR.2009.0025 du 6 janvier 2010 consid. 2). La règle de l'art. 16 al. 3 LCR,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pas de prononcer une sanction inférieure au minimum prévu par l'art. 16b LCR (CR.2009.0022 du 27 novembre 2009 consid. 2b; CR.2009.0025 du 6 janvier 2010 consid. 2). b) En l’occurrence, la durée du retrait de permis ne saurait être mise en cause puisque l’autorité intimée a prononcé un retrait de permis d’une durée correspondant au minimum légal prévu par le législateur, soit un mois.</w:t>
      </w:r>
    </w:p>
    <w:p>
      <w:r>
        <w:rPr>
          <w:b/>
        </w:rPr>
        <w:t>E. 7</w:t>
      </w:r>
    </w:p>
    <w:p>
      <w:r>
        <w:t>Il résulte des considérants qui précèdent que le recours doit être rejeté et la décision attaquée confirmée. Le recourant, qui succombe, supporte les frais de justice (art. 49 al. 1 et 91 de la loi du 28 octobre 2008 sur la procédure administrative [LPA-VD; RSV 173.36]).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