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CR.2014.0008 vom 21. Mai 2014</w:t>
      </w:r>
    </w:p>
    <w:p>
      <w:r>
        <w:t>VD Tribunal cantonal, 2014-05-21, FR</w:t>
      </w:r>
    </w:p>
    <w:p>
      <w:r>
        <w:rPr>
          <w:b/>
        </w:rPr>
        <w:t xml:space="preserve">Quelle: </w:t>
      </w:r>
      <w:r>
        <w:t>https://mcp.opencaselaw.ch/entscheid/vd_omni_CR.2014.0008</w:t>
      </w:r>
    </w:p>
    <w:p>
      <w:r>
        <w:t>FR: VD_OMNI CR.2014.0008 du 21 mai 2014</w:t>
      </w:r>
    </w:p>
    <w:p>
      <w:r>
        <w:t>IT: VD_OMNI CR.2014.0008 del 21 maggio 2014</w:t>
      </w:r>
    </w:p>
    <w:p>
      <w:pPr>
        <w:pStyle w:val="Heading2"/>
      </w:pPr>
      <w:r>
        <w:t>Regeste</w:t>
      </w:r>
    </w:p>
    <w:p>
      <w:r>
        <w:t>X.________/Service des automobiles et de la navigation | Recours contre une décision prononçant un retrait du permis de conduire pour une durée de douze mois, compte tenu de la commission de deux infractions qualifiées de graves dans un contexte de récidive. Il n'y a pas lieu de faire droit à la requête du recourant tendant à la mise en oeuvre d'une inspection locale et à la tenue d'une audience, les arguments qu'il invoque dans ce cadre n'étant pas de nature à modifier l'appréciation des faits et de leurs conséquences juridiques. Sur le fond, le grief de l'intéressé tiré d'une violation du principe "ne bis in idem" est infondé. Par ailleurs, dans la mesure où la durée du retrait de permis litigieux correspond au minimum légal, le besoin professionnel de son permis de conduire ne peut être pris en compte, pas davantage que l'hypothèse - au demeurant hypothétique - de sa faillite; pour le même motif, un retrait différencié (en application de l'art. 33 al. 5 OAC) n'entre pas en considération. Rejet du recours et confirmation de la décision attaquée. Recours au TF rejeté dans la mesure de sa recevabilité (arrêt 1C_320/2014 du 14 octobre 2014).</w:t>
      </w:r>
    </w:p>
    <w:p>
      <w:pPr>
        <w:pStyle w:val="Heading2"/>
      </w:pPr>
      <w:r>
        <w:t>Erwägungen</w:t>
      </w:r>
    </w:p>
    <w:p>
      <w:r>
        <w:rPr>
          <w:b/>
        </w:rPr>
        <w:t>E. 1</w:t>
      </w:r>
    </w:p>
    <w:p>
      <w:r>
        <w:t>a) Le recourant a requis diverses mesures d’instruction énumérées ci-dessus. b)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124 II 132 consid. 2b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2A.5/2007 du 23 mars 2007 consid. 3.4; 130 II 425 consid. 2.1 et les arrêts cités). Hormis lorsqu'il y a péril en la demeure, les parties ont le droit d'être entendues avant toute décision les concernant (art. 33 al. 1 LPA-VD). Aux termes de l'art. 29 al. 1 LPA-VD, l'autorité peut recourir à différents moyens de preuves: audition des parties (let. a), inspection locale (let. b), expertises (let. c), documents, titres et rapports officiels (let. d), renseignements fournis par les parties, des autorités ou des tiers (let. e) et/ou témoignages (let. f). Il lui est toutefois loisible de se dispenser de ces mesures lorsqu’elles ne sont pas nécessaires pour résoudre les questions soulevées par le recours. De même, le droit d’être entendu découlant des art. 29 al. 2 Cst. et 27 al. 2 Cst./VD ne s’exerce, par définition, que par rapport à la décision à prendre (voir FI.2005.0206 du 12 juin 2006; ATF 130 II 425 consid. 2.1 précité et les références citées). Selon la jurisprudence du Tribunal fédéral, dans la mesure où les autorités arrêtent, dans le cadre de la procédure de l'art. 16 al. 2 et 3 LCR, la mesure administrative et sa durée, il s'agit d'une décision sur le bien-fondé d'une accusation en matière pénale, au sens de l'art. 6 ch. 1 CEDH. Dès lors, même lorsque l'état de fait a déjà été arrêté par le juge pénal, ce qui lie en principe les autorités administratives, ou lorsque le degrés de culpabilité n'est pas contesté, l'intéressé a droit à des débats publics et oraux (ATF 133 II 331 consid. 4.2 et 121 II 22 du 11 janvier 1995; voir aussi Tribunal administratif CR.2007.0128 du 31 juillet 2007). c) En l'espèce, le recourant requiert la mise en œuvre d’une inspection locale et la tenue d’une audience Or, de telles mesures d’instruction ne sont pas nécessaires pour résoudre les questions soulevées par le présent litige. En effet, les éléments de fait déterminants ne sont ni litigieux ni contestés (dépassements de la vitesse autorisée de 29 km/h le 27 mai 2013 et de 40 km/h le 19 juin 2013). A cet égard, le recourant invoque uniquement la configuration des lieux, de nature selon lui a établir l’absence de mise en danger des autres usagers de la route. Or, de tels arguments ne sont pas de nature à modifier l’appréciation des faits et de leurs conséquences juridiques. Il n’y a ainsi pas lieu de donner suite à cette requête.</w:t>
      </w:r>
    </w:p>
    <w:p>
      <w:r>
        <w:rPr>
          <w:b/>
        </w:rPr>
        <w:t>E. 2</w:t>
      </w:r>
    </w:p>
    <w:p>
      <w:r>
        <w:t>Le recourant fait valoir la violation du principe « ne bis in idem ». a) Nul ne peut être poursuivi ou puni pénalement à raison de faits pour lesquels il a déjà été acquitté ou condamné par un jugement définitif. Ce droit, exprimé par l’adage " ne bis in idem ", est garanti notamment par l’art. 4 du Protocole n° 7 à la Convention européenne de sauvegarde des droits de l'homme et des libertés fondamentales (CEDH; RS 0.101.07). Dans un arrêt rendu le 28 janvier 2011 (cause 2010.0071), dans le cadre d’une procédure de coordination au sens de l’art. 34 du Règlement organique du Tribunal cantonal du 13 novembre 2007 (ROTC, RSV 173.31.1), le Tribunal cantonal a jugé que le cumul de l’amende, au sens de l’art. 90 LCR, et d’un retrait de permis, au sens des art. 16 et ss LCR, n’entraînait pas une violation de l’art. 4 du Protocole n° 7 CEDH, tel qu’interprété par la Cour européenne des droits de l’homme dans l’arrêt rendu le 10 février 2009 dans la cause Sergeï Zolotoukhine c. Russie (req. n° 14939/03). L’arrêt du 28 janvier 2011 a fait l’objet d’un recours au Tribunal fédéral. Le Tribunal fédéral a considéré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références). En matière de répression des infractions relatives à la circulation routière, elle a relevé que le droit suisse connaît le système de la double procédure pénale et administrative: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(ATF 137 I 363 consid. 2.3 p. 366). Le Tribunal fédéral a rappelé que selon sa jurisprudence constante, la double procédure pénale et administrative prévue en droit suisse pour les infractions relatives à la circulation routière ne viole pas le principe « ne bis in idem ». En effet, l’application dudit principe suppose en particulier que le juge de la première procédure ait été mis en mesure d’apprécier l’état de fait sous tous ses aspects juridiques. Elle a estimé que cette condition faisait défaut en raison des pouvoirs de décision limités de chacune des autorités compétentes. Ainsi, seules les deux autorités prises ensemble peuvent examiner l’état de fait dans son intégralité sous tous ses aspects juridiques (ATF 125 II 402 consid. 1b p. 404 s.). Une certaine coordination s'impose donc entre ces deux procédures.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ATF 129 II 312 consid. 2.4 p. 315; ATF 123 II 97 consid. 3c/aa p. 104; ATF 105 Ib 18 consid. 1a et réf. cit.). Si l'arrêt Zolotoukhine a clarifié l'application du principe "ne bis in idem" en tranchant en faveur du critère de l'identité des faits, le Tribunal fédéral a considéré qu’il ne s'était pas prononcé sur le cumul des procédures administrative et pénale en matière d'infractions contre la circulation routière. Il a relevé que ce domaine est particulier à différents titres. D'abord, même si le retrait du permis de conduire présente un caractère pénal (ATF 128 II 173 consid. 3c p. 176 et les arrêts cités), il s'agit d'une sanction administrative indépendante de la sanction pénale, avec une fonction préventive et éducative prépondérante (ATF 128 II 173consid. 3c p. 177; ATF 125 II 396 consid. 2a/aa p. 399). Son but principal est de garantir le respect des règles de la circulation routière et la sécurité des usagers de la route (voir également Message du 21 septembre 1998 concernant la modification du Code pénal suisse [...] et du Code pénal militaire ainsi qu'une loi fédérale régissant la condition pénale des mineurs, FF 1999 1865 ch. 213.15). Enfin, selon le Tribunal fédéral, le système dual prévu par la LCR, dans lequel le juge pénal n'est pas compétent pour ordonner le retrait du permis de conduire, mesure qui relève de l'autorité administrative, a pour conséquence que seul le concours des deux autorités permet de subsumer l'état de fait à toutes les règles juridiques. Il est ainsi parvenu à la conclusion que toutes les conséquences de l'acte délictueux ne pouvant pas être jugées ensemble, deux autorités aux compétences distinctes, ne disposant pas du même type de sanction, poursuivant des buts distincts, sont successivement amenées à statuer sur le même état de fait dans le contexte de deux procédures distinctes. Or, tel n'est pas le cas du système sanctionné par l'arrêt Zolotoukhine, dont les considérants se rapportent à deux procédures (administrative et pénale) sanctionnant un même état de fait, conduites par le même tribunal disposant des mêmes sanctions. b) Au vu de ce qui précède, l’argument tiré d’une violation du principe « ne bis in idem » est ainsi infondé. En particulier, on ne discerne pas en quoi ce principe serait violé dans la mesure où les conséquence « civiles » de la mesure seraient, comme le prétend le recourant, « apocalyptiques ». Le respect du principe invoqué n’a pas pour objet d’obliger l’autorité à prendre en compte dans une mesure supérieure à son pouvoir d’examen et dans le respect des autres principes généraux les conséquences civiles, patrimoniales ou d’une autre nature sur la situation de l’administré.</w:t>
      </w:r>
    </w:p>
    <w:p>
      <w:r>
        <w:rPr>
          <w:b/>
        </w:rPr>
        <w:t>E. 3</w:t>
      </w:r>
    </w:p>
    <w:p>
      <w:r>
        <w:t>Dans une argumentation parfois redondante, le recourant fait valoir que la mesure serait disproportionnée, notamment au regard des circonstances concrètes du cas et des infractions commises, dans la mesure où elles auraient pris place à un endroit et un moment qui permettait d’exclure toute mise en danger d’autrui, et également en raison des conséquences dramatiques sur sa situation financière. a) La loi sur la circulation routière du 19 décembre 1958 (LCR; RS 741.01) distingue l'infraction légère, moyenne ou grave. Commet une infraction légère la personne qui, en violant les règles de la circulation, met légèrement en danger la sécurité d’autrui et à laquelle seule une faute légère peut être imputée (art. 16a al. 1 let. a LCR). Commet une infraction moyennement grave la personne qui, en violant les règles de la circulation, crée un danger pour la sécurité d’autrui ou en prend le risque (art. 16b al. 1 let. a LCR). Dans ce cas, le permis de conduire est retiré pour un mois au minimum (art. 16b al. 2 let. a LCR) et pour quatre mois au minimum si, au cours des deux années précédentes, le permis a été retiré une fois en raison d'une infraction grave ou moyennement grave (art. 16b al. 2 let. b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Il est retiré pour six mois au minimum si, au cours des cinq années précédentes, le permis a été retiré une fois en raison d'un infraction moyennement grave (art. 16c al. 2 let. b LCR) et pour douze mois au minimum si, au cours des cinq années précédentes, le permis a été retiré une fois en raison d'une infraction grave ou à deux reprises en raison d'infractions moyennement graves (art. 16c al. 2 let. c LCR). b)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124 II 259 consid. 2b p. 262). Il est en revanche de moyenne gravité lorsque le dépassement de la vitesse autorisée est, respectivement, de 21 à 24 km/h (ATF 126 II 196 consid. 2a p. 199), de 26 à 29 km/h et de 31 à 34 km/h (ATF 128 II 131 consid. 2a p. 132). Cette jurisprudence ne dispense toutefois pas l'autorité de tout examen des circonstances du cas concret. D'une part, l'importance de la mise en danger et celle de la faute doivent être appréciées afin de déterminer quelle doit être la durée d'un retrait de permis (cf.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 consid. 2a p. 199; 124 II 97 consid.2c p. 101; 123 II 37 consid. 1f p. 41). L'autorité pourra également renoncer au retrait du permis de conduire en présence de circonstances analogues à celles qui justifient de renoncer à une peine en application de l'art. 54 CP (arrêts 1C_303/2007 du 15 mai 2008 consid. 8.1; 6B_264/2007 du 19 septembre 2007 consid. 3.1; 6A.103/2002 consid. 2.2 in SJ 2003 I p. 287; ATF 128 II 86 consid. 2c p. 88; 126 II 196 consid. 2c p. 200) ou encore des art. 17 ss CP (arrêt 1C_4/2007 du 4 septembre 2007 consid. 2.2).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loi fédérale sur la circulation routière du 31 mars 1999, FF 1999 IV 4131; ATF 132 II 234 consid. 2.3 p. 236 s.). Cette volonté d'uniformité, clairement exprimée par le législateur, exclut la possibilité ouverte par la jurisprudence, sous l'ancien droit, de réduire la durée minimale du retrait du permis, voire de renoncer à toute sanction en cas de faute particulièrement peu grave (arrêts 1C_83/ 2008 du 16 octobre 2008 consid. 2.1; 6A.61/2006 du 23 novembre 2006 consid. 4.3 et 4.5 résumés in JdT 2007 I 502). En l'espèce, le recourant a été dénoncé pour avoir dépassé de 29 km/h la vitesse maximale autorisée à l'intérieur des localités, d’une part, et de 40 km/h celle en vigueur en dehors des localités, ce qu'il ne conteste pas. Ces dépassements de vitesse constituent objectivement deux cas graves au sens de l'art. 16c al. 1 let. a LCR, impliquant un retrait du permis de conduire pour une durée de douze mois compte tenu de l'antécédent pour cas grave figurant au registre des mesures ADMAS du recourant (art. 16c al. 2 let. c LCR). La sanction attaquée respecte ce minimum légal. Le recourant se prévaut du fait qu'aucun autre conducteur ou piéton n'a été concrètement mis en danger, ce qui est sans pertinence. Le recourant se prévaut du besoin impératif de son permis de conduire pour exercer sa profession. Or, la règle de l'art. 16 al. 3 LCR, qui rend désormais incompressibles les durées minimales de retrait des permis de conduire a été introduite dans la loi par souci d'uniformité et le législateur a exclu expressément la possibilité ouverte par la jurisprudence sous l'ancien droit, de réduire la durée minimale du retrait, notamment en faveur de conducteurs professionnels (arrêt 1C_83/2008 du 16 octobre 2008 précité, consid. 2.1). En conséquence, la nécessité professionnelle de conduire un véhicule ne peut être prise en compte lorsque la décision attaquée s'en tient, comme ici, au minimum prévu par la loi (p.ex. 1C_430/2011 du 7 mars 2012). Quant à l'hypothèse de la faillite du recourant, au demeurant hypothétique, il ne s'agit pas d’un élément permettant de s'écarter exceptionnellement du minimum légal. La décision de l'autorité intimée, qui s'est conformée au minimum légal, en prononçant une mesure de retrait du permis de conduire d’une durée de douze mois compte tenu de l'antécédent du recourant doit être maintenue.</w:t>
      </w:r>
    </w:p>
    <w:p>
      <w:r>
        <w:rPr>
          <w:b/>
        </w:rPr>
        <w:t>E. 4</w:t>
      </w:r>
    </w:p>
    <w:p>
      <w:r>
        <w:t>Le recourant, à titre d’aménagement, a requis de pouvoir continuer à prendre le volant de son fourgon de livraison en semaine pendant les heures de bureau. a) La loi ne prévoit pas la possibilité d'accorder une autorisation de conduire durant les heures de travail et la jurisprudence n'a jamais admis un tel aménagement du retrait de permis (CDAP arrêt CR.2008.0097 du 12 septembre 2008 et réf. cit.). La seule atténuation possible de la mesure admise par la loi réside dans le retrait différencié du permis prévu par l'art. 33 al. 5 de l'ordonnance du 27 octobre 1976 réglant l'admission des personnes et des véhicules à la circulation routière (OAC; RS 741.51); cette disposition prévoit que le retrait du permis de conduire peut être décidé pour une durée différente selon les catégories de véhicules, sous réserve d'observer la durée minimale fixée par la loi, si le titulaire du permis a commis l'infraction justifiant le retrait avec un véhicule automobile dont il n'a pas besoin pour exercer sa profession et s'il jouit d'une bonne réputation en tant que conducteur du véhicule de la catégorie pour laquelle il s'agit d'abréger la durée du retrait. En l'espèce, le retrait différencié n'entre pas en considération dès lors que la durée du retrait s'en tient à la durée minimale de douze mois prévue par l'art. 16c al. 2 let. c LCR. b) En conséquence, les conclusions du recourant tendant à une exécution de la mesure de retrait en dehors des heures de travail sont mal fondées.</w:t>
      </w:r>
    </w:p>
    <w:p>
      <w:r>
        <w:rPr>
          <w:b/>
        </w:rPr>
        <w:t>E. 5</w:t>
      </w:r>
    </w:p>
    <w:p>
      <w:r>
        <w:t>Les considérants qui précèdent conduisent au rejet du recours et à la confirmation de la décision attaquée. Un émolument sera mis à la charge du recourant débouté, qui n'a pas droit à des dépens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