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CR.2014.0002 vom 23. Juni 2014</w:t>
      </w:r>
    </w:p>
    <w:p>
      <w:r>
        <w:t>VD Tribunal cantonal, 2014-06-23, FR</w:t>
      </w:r>
    </w:p>
    <w:p>
      <w:r>
        <w:rPr>
          <w:b/>
        </w:rPr>
        <w:t xml:space="preserve">Quelle: </w:t>
      </w:r>
      <w:r>
        <w:t>https://mcp.opencaselaw.ch/entscheid/vd_omni_CR.2014.0002</w:t>
      </w:r>
    </w:p>
    <w:p>
      <w:r>
        <w:t>FR: VD_OMNI CR.2014.0002 du 23 juin 2014</w:t>
      </w:r>
    </w:p>
    <w:p>
      <w:r>
        <w:t>IT: VD_OMNI CR.2014.0002 del 23 giugno 2014</w:t>
      </w:r>
    </w:p>
    <w:p>
      <w:pPr>
        <w:pStyle w:val="Heading2"/>
      </w:pPr>
      <w:r>
        <w:t>Regeste</w:t>
      </w:r>
    </w:p>
    <w:p>
      <w:r>
        <w:t>X.________/Service des automobiles et de la navigation | Automobiliste qui, pour éviter un animal qui traversait la route, a donné un coup de volant à gauche, empiété la voie opposée et percuté un véhicule arrivant en sens inverse. En procédant à cette manoeuvre, le recourant a commis une faute qui lui est imputable. Pas de rupture du lien de causalité. L'infraction doit être qualifiée de moyennement grave. Comme il s'agit de la seconde infraction entraînant un retrait commise par le recourant durant la période probatoire, son permis de conduire à l'essai doit être annulé. Recours rejeté. Recours au TF rejeté (ATF 1C_361/2014 du 26.01.2015).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Sur le plan formel, le recourant se plaint de ce que la décision attaquée ne comporte aucune signature ni même aucune indication dactylographiée indiquant qui en est l'auteur. 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b) En l'espèce, la décision attaquée ne comporte effectivement aucune signature, ni aucune indication dactylographiée indiquant qui en est l'auteur. Elle ne respecte dès lors pas les exigences de forme posées à l'art. 42 LPA-VD. Il n'y a toutefois pas lieu d'annuler la décision attaquée pour ce motif. Une telle démarche aurait en effet uniquement pour conséquence de prolonger la procédure. Dans la mesure où cette prolongation ne serait pas dans l’intérêt du recourant, qui n’a au demeurant pas été entravé dans l’exercice de ses droits par les manquements précités, il convient, par économie de procédure, d’entrer en matière sur le fonds du recours (voir dans le même sens, arrêt GE.2010.0047 du 21 juin 2010 consid. 3).</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le Préfet du Jura-Nord vaudois a retenu dans son ordonnance du 20 août 2013 que le recourant avait perdu la maîtrise de son véhicule suite à une manoeuvre inappropriée et qu'il s'était dès lors rendu coupable d'une violation simple des règles de la circulation routière. Le recourant n'a pas contesté cette décision, qui est dès lors entrée en force. La question de savoir si une infraction peut être reprochée au recourant compte tenu de la présence d'un animal traversant la chaussée est toutefois une question de droit. L'appréciation que le juge pénal a faite à cet égard ne lie dès lors pas l'autorité et le juge administratifs. Du dossier et des déclarations du recourant, il résulte que celui-ci, peu avant une courbe prononcée à droite alors qu'il circulait à environ 40 km/h, a donné un coup de volant à gauche pour éviter un animal qui traversait la route et a empiété sur la voie opposée. Cette manoeuvre n'était pas appropriée. La configuration des lieux (manoeuvre effectuée peu avant une courbe prononcée à droite) ne permettait en effet pas au recourant de s'assurer qu'aucun véhicule ne survenait en sens inverse. Face à une telle situation, l'intéressé aurait dû entreprendre un freinage d'urgence quitte à risquer de percuter l'animal. Compte tenu des circonstances, cette mesure s'imposait comme la plus évidente et la plus utile, même si le recourant se trouvait dans une situation exigeant une décision très rapide. En procédant à un autre choix, le recourant a commis une faute qui lui est imputable. Le recourant s'est ainsi bien rendu coupable d'une infraction à l'art. 31 al. 1 LCR.</w:t>
      </w:r>
    </w:p>
    <w:p>
      <w:r>
        <w:rPr>
          <w:b/>
        </w:rPr>
        <w:t>E. 3</w:t>
      </w:r>
    </w:p>
    <w:p>
      <w:r>
        <w:t>Sur le fond, le recourant conteste avoir commis une infraction. Il expose que l'accident du 22 juin 2013 était totalement involontaire et ne résultait pas non plus d'une négligence, mais de la survenance d'un élément extérieur imprévisible, à savoir la présence d'une animal traversant la chaussée. a) 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(Bussy/Rusconi, Code suisse de la circulation routière, 3 ème éd., 1996, n. 3.1.2 ad art. 31 LCR; ATF 115 IV 248, JdT 1989 I 693; RJN 1997 p. 174).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voir ég. arrêt du Tribunal fédéral 1C_294/2008 du 18 novembre 2008 consid. 3.1). b)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Le recourant conteste également à titre subsidiaire la qualification de l'infraction commise. Il soutient que l'autorité intimée aurait dû faire application de l'art. 16a al. 4 LCR, qui prévoit qu'en cas d'infraction particulièrement légère, il est renoncé à toute mesure administrative. a) La LCR fait la distinction entre le cas de très peu de gravité, le cas de peu de gravité, le cas de gravité moyenne et le cas grave. -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 Commet une infraction moyennement grave la personne qui, en violant les règles de la circulation, crée un danger pour la sécurité d’autrui ou en prend le risque (art. 16b al. 1 let. a LCR). ). Dans cette hypothèse, le permis de conduire est retiré pour un mois au minimum (art. 16b al. 2 let. a LCR). - Commet une infraction grave la personne qui, en violant gravement les règles de la circulation, met sérieusement en danger la sécurité d’autrui ou en prend le risque (art. 16 al. 1 let. a LCR). Dans ce cas, le permis de conduire est retiré pour trois mois au minimum (art. 16c al. 2 let. b LCR). b) La qualification de l'infraction dépend du degré de la mise en danger de la sécurité d'autrui ainsi que de la gravité de la faute imputable au conducteur concerné (TF, arrêt 1C_235/2007 du 29 novembre 2007; voir ég. Message du Conseil fédéral du 31 mars 1999 concernant la modification de la loi fédérale de la circulation routière, FF 1999 IV p. 4131 ss; C. Mizel, Les nouvelles dispositions légales sur le retrait du permis de conduire, in RDAF 2004 I 383 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c) En l'espèce, en perdant la maîtrise de son véhicule et en provoquant un accident, le recourant a concrètement mis en danger d'autres usagers de la route. De telles collisions peuvent entraîner des blessures sérieuses, telles que le coup du lapin. Les dégâts matériels occasionnés ne sont par ailleurs pas négligeables, puisque le véhicule de Z.________ a dû être remorqué. On dépasse ainsi largement le cadre d'une simple " touchette " à vitesse réduite. La mise en danger créée par le comportement du recourant ne saurait dans ces circonstances être considérée comme particulièrement légère. La question de la gravité de la faute commise peut dans ce cas rester indécise. La double condition de légèreté de la faute et de la mise en danger n'étant pas réalisée, c'est à juste titre que l'autorité intimée a qualifié l'infraction commise de moyennement grave au sens de l'art. 16b al. 1 let. a LCR.</w:t>
      </w:r>
    </w:p>
    <w:p>
      <w:r>
        <w:rPr>
          <w:b/>
        </w:rPr>
        <w:t>E. 5</w:t>
      </w:r>
    </w:p>
    <w:p>
      <w:r>
        <w:t>Le recourant invoque enfin une violation du principe de la proportionnalité. Il reproche à l'autorité intimée de faire une " application aveugle et mécanique des nouvelles règles du programme via sicura ". Il se prévaut en outre des difficultés professionnelles auxquelles il est confronté. Il expose que, sans véhicule, ses déplacements sont en effet compliqués et longs, car les chantiers ne sont pas toujours aisément accessibles par les transports publics. a) Selon l'art.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p. 348 et les réf.; cf. aussi TF, arrêt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p. 348). Le nouvel instrument du droit des mesures administratives poursuit une fonction éducative et son but est notamment de diminuer les accidents en sanctionnant de manière plus sévère ceux qui compromettent la sécurité routière (ATF 136 II 447 consid. 5.1 et 5.3 p. 454 ss; TF, arrêt 1C_559/2008 du 15 mai 2009 consid. 3.1 publié in JdT 2009 I 516). b) En l'espèce, le recourant a déjà fait l'objet d'une mesure de retrait de son permis de conduire à l'essai. Dès lors que la nouvelle infraction commise doit conduire à un nouveau retrait de permis, d'une durée d'au moins un mois (art. 16b al. 2 let. a LCR), l'autorité intimée n'avait pas d'autre choix que d'annuler le permis de conduire à l'essai du recourant (art. 15a al. 4 LCR). Quant à la condition fixée à la délivrance d'un nouveau permis à l'issue d'un délai d'attente d'un an (expertise psychologique attestant l'aptitude à conduire de l'intéressé), elle ne prête pas non plus le flanc à la critique, dès lors qu'elle est expressément prévue par la loi (art. 15a al. 5 LCR).</w:t>
      </w:r>
    </w:p>
    <w:p>
      <w:r>
        <w:rPr>
          <w:b/>
        </w:rPr>
        <w:t>E. 6</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