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CR.2013.0110 vom 31. Januar 2014</w:t>
      </w:r>
    </w:p>
    <w:p>
      <w:r>
        <w:t>VD Tribunal cantonal, 2014-01-31, FR</w:t>
      </w:r>
    </w:p>
    <w:p>
      <w:r>
        <w:rPr>
          <w:b/>
        </w:rPr>
        <w:t xml:space="preserve">Quelle: </w:t>
      </w:r>
      <w:r>
        <w:t>https://mcp.opencaselaw.ch/entscheid/vd_omni_CR.2013.0110</w:t>
      </w:r>
    </w:p>
    <w:p>
      <w:r>
        <w:t>FR: VD_OMNI CR.2013.0110 du 31 janvier 2014</w:t>
      </w:r>
    </w:p>
    <w:p>
      <w:r>
        <w:t>IT: VD_OMNI CR.2013.0110 del 31 gennaio 2014</w:t>
      </w:r>
    </w:p>
    <w:p>
      <w:pPr>
        <w:pStyle w:val="Heading2"/>
      </w:pPr>
      <w:r>
        <w:t>Regeste</w:t>
      </w:r>
    </w:p>
    <w:p>
      <w:r>
        <w:t>X.________/Service des automobiles et de la navigation | Recours contre un retrait de permis prononcé suite à la mise en mouvement fortuite d'un véhicule parqué. Question laissée indécise de savoir si l'ordonnance pénale intégrant un rapport de police avec audition du conducteur et photographies des lieux a été rendue au terme d'une procédure sommaire (c. 5). La faute du recourant, consistant à avoir fortuitement désactivé, partiellement ou complètement, le frein à main et/ou la boîte de vitesses doit être qualifiée de bénigne au vu, notamment, de la faible déclivité du lieu initial d'immobilisation du véhicule. L'examen du degré de la mise en danger au regard des art. 16a ss LCR doit être opéré vis-à-vis des tiers, et partant faire abstraction du risque couru par le conducteur lui-même. En l'espèce, seule une mise en danger abstraite doit être retenue en dépit de l'accident survenu au conducteur, entraîné par sa propre portière alors qu'il tentait d'atteindre le frein à main (c. 6). Recours partiellement admis, décision attaquée réformée en ce sens que seul un avertissement est prononcé, les frais de la première décision étant de surcroît réduits (c. 7).</w:t>
      </w:r>
    </w:p>
    <w:p>
      <w:pPr>
        <w:pStyle w:val="Heading2"/>
      </w:pPr>
      <w:r>
        <w:t>Erwägungen</w:t>
      </w:r>
    </w:p>
    <w:p>
      <w:r>
        <w:rPr>
          <w:b/>
        </w:rPr>
        <w:t>E. 1</w:t>
      </w:r>
    </w:p>
    <w:p>
      <w:r>
        <w:t>a) Selon l'art. 16 de la loi fédérale du 19 décembre 1958 sur la circulation routière (LCR; RS 741.01),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b) La LCR distingue les infractions légères, moyennement graves et graves (art. 16a-c LCR). aa)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Le permis de conduire est retiré pour trois mois au minimum après une infraction grave (art. 16c al. 2 let. a LCR). bb)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 141; arrêt 6A.16/2006 du 6 avril 2006 consid. 2.1.1, in JdT 2006 I 442). cc) La jurisprudence a rappelé que l'art. 90 al. 2 LCR correspond à l'infraction grave prévue à l'art. 16c LCR, alors que l'art. 90 al. 1 LCR recouvre les deux hypothèses de l'infraction légère ou moyennement grave prévues aux art. 16a et 16b LCR (arrêt CR.2013.0011 du 1 er juillet 2013 consid. 3b; CR.2012.0034 du 25 septembre 2012 et réf. cit.).</w:t>
      </w:r>
    </w:p>
    <w:p>
      <w:r>
        <w:rPr>
          <w:b/>
        </w:rPr>
        <w:t>E. 2</w:t>
      </w:r>
    </w:p>
    <w:p>
      <w:r>
        <w:t>a) Sous la note marginale " arrêt, parcage ", l'art. 37 LCR prévoit notamment, à son al. 3, que le conducteur ne peut quitter son véhicule sans avoir pris les précautions commandées par les circonstances. Intitulé " manière d'immobiliser les véhicules ", l'art. 22 de l'ordonnance du 13 novembre 1962 sur les règles de la circulation routière (OCR; RS 741.11) précise que le conducteur qui quitte son véhicule doit en arrêter le moteur. Avant de s’éloigner, il se garantira contre une mise en mouvement fortuite ou un usage illicite du véhicule (al. 1).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 (al. 2). Ainsi, le conducteur est, en tant que tel, tenu de veiller à ce que son véhicule, une fois arrêté, soit dans toute la mesure du possible à l'abri d'une mise en mouvement fortuite ou d'un emploi illicite (ATF 118 Ib 524 consid. 3b; voir Bussy/Rusconi, Code suisse de la circulation routière, 3 ème éd. 1996, n. 3 ad art. 37 LCR). b) La jurisprudence cantonale fait état de plusieurs cas de mise en mouvement fortuite de véhicule, sanctionnés soit par un avertissement, soit par un retrait de permis d'un mois. aa) Dans une affaire ancienne, le tribunal a prononcé un avertissement contre un conducteur qui avait parqué sa voiture dans un parking souterrain, en plaçant son levier de vitesse (le véhicule étant muni d'une boîte automatique) entre les positions " marche arrière " et " neutre ", qui plus est sans serrer le frein à main, ce qui avait entraîné le recul du véhicule et la collision contre une autre voiture normalement stationnée. Il a retenu que l'omission commise constituait une faute légère. En outre, un véhicule qui s'ébranlait silencieusement dans un parking, fût-ce à faible vitesse, constituait un danger potentiellement non négligeable non seulement pour les carrosseries des véhicules avoisinants, mais encore pour les usagers du parking qui s'y déplaçaient à pied ou s'affairaient au chargement de leur véhicule. La mise en danger restait toutefois de peu de gravité (CR.1995.0330 du 7 mai 1996 consid. 2; voir aussi CR.1995.0116 du 3 juillet 1995 consid. 2). Plus récemment, un avertissement a également été infligé à un conducteur qui avait garé sa voiture sur une rue à faible déclivité après avoir légèrement tiré le frein à main mais sans engager le rapport inférieur de la boîte de vitesses. La voiture s'était mise en mouvement et avait parcouru une vingtaine de mètres, traversant une intersection pour terminer sa course appuyée contre la façade d'un immeuble. L'incident n'avait provoqué que des dégâts légers sur la voiture de l'intéressé, qui n'avait pas pu atteindre une vitesse élevée vu la faible déclivité. Le tribunal a retenu que l'omission d'engager le rapport inférieur de la boîte de vitesses avant de quitter un véhicule stationné sur une route en pente contrevenait certes aux règles de prudence essentielles, mais ne relevait pas d'une violation intentionnelle et grossière d'une règle de circulation. Compte tenu de la faible déclivité de la pente, le risque de mise en mouvement fortuite du véhicule était peu probable, de sorte que le recourant n'avait commis qu'une faute légère (CR.2002.0073 du 22 octobre 2002 consid. 2). Un avertissement a de même été prononcé à l'encontre d'un conducteur ayant garé sa voiture, sans engager le rapport inférieur de la boîte de vitesses, dans une rue présentant une déclivité relativement marquée (8%). Sa voiture avait reculé spontanément, décrivant une courbe d'une quinzaine de mètres, et avait embouti une autre voiture stationnée, qui avait elle-même été poussée contre une troisième voiture. Le tribunal a retenu que, sur de nombreux véhicules, le frein à main - qui aurait été tiré en l'espèce - avait tendance à perdre de son efficacité avec l'usage et nécessitait un réglage périodique, mais que ce phénomène était perceptible pour tout conducteur, qui devait alors prendre d'autant plus de précaution. La faute restait de peu de gravité (CR.2003.0026 du 29 août 2003 consid. 3). Enfin, un conducteur a fait l'objet d'un avertissement pour avoir garé sa voiture sur une route à faible déclivité (3%), sans avoir placé le levier de sélection sur la position " parking " de la boîte automatique, ni tiré le frein à main. Le véhicule s'était mis en mouvement sur environ un mètre avant de terminer sa course contre une autre voiture stationnée. Le tribunal a répété qu'un véhicule qui s'ébranlait silencieusement, fût-ce à faible vitesse, constituait un danger potentiel pour les usagers de la route. La faute et la mise en danger devaient être considérées comme de peu de gravité (CR.2003.0244 du 24 novembre 2004 consid. 5). bb) En revanche, un retrait de permis d'un mois été prononcé à l'encontre d'un conducteur qui avait parqué son véhicule dans une rue à forte pente (17%), en tirant le frein à main mais sans " braquer " les roues du véhicule ni engager de vitesse. Le véhicule avait parcouru environ trente à quarante mètres et terminé sa course sur un talus, retenu par un panneau de signalisation. Le tribunal a considéré que la configuration des lieux commandait de prendre une seconde mesure propre à maintenir le véhicule à l'arrêt. En se limitant à tirer le frein à main, le conducteur avait commis une faute, devant être qualifiée de moyennement grave. Même si les conséquences de l'accident s'étaient avérées minimes, d'autres véhicules, des automobilistes et des piétons auraient pu se trouver sur la trajectoire suivie par la voiture. Le conducteur avait ainsi créé un danger pour la sécurité d'autrui au sens de l'art. 16b al. 1 let. a LCR. Si l'omission de sécuriser convenablement son véhicule sur une pente à faible ou moyenne déclivité correspondait à une infraction de peu de gravité, il n'en allait pas de même en présence d'une forte pente. L'infraction devait ainsi être qualifiée de moyennement grave (CR.2010.0068 du 14 juin 2011 consid. 2).</w:t>
      </w:r>
    </w:p>
    <w:p>
      <w:r>
        <w:rPr>
          <w:b/>
        </w:rPr>
        <w:t>E. 3</w:t>
      </w:r>
    </w:p>
    <w:p>
      <w:r>
        <w:t>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Si les faits retenus au pénal lient donc en principe l'autorité et le juge administratifs, il en va différemment des questions de droit, en particulier de l'appréciation de la faute et de la mise en danger (ATF 1C_353/2010 du 12 janvier 2011 consid. 2.2 et réf. cit.). b) Le retrait d'admonestation est qualifié par la jurisprudence comme une mesure analogue à une sanction pénale de sorte qu'il faut admettre l'application de la présomption d'innocence ( ATF 122 II 359 consid. 2c p. 363 s.; 121 II 22 consid. 3b p. 26). Garantie par l'art. 32 al. 1 Cst., l'art. 6 § 2 CEDH et l'art. 14 al. 2 Pacte ONU II, cette présomption porte à la fois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 ATF 124 IV 86 consid. 2a p. 88; 120 Ia 31 consid. 2c p. 37). Dans cette mesure, elle se confond avec l'interdiction générale de l'arbitraire, prohibant une appréciation reposant sur des preuves inadéquates ou sans pertinence ( ATF 124 IV 86 consid. 2a p. 87; 120 Ia 31 consid. 2 p. 33, arrêt 6B_562/2010 du 28 octobre 2010 consid. 2.1.1).</w:t>
      </w:r>
    </w:p>
    <w:p>
      <w:r>
        <w:rPr>
          <w:b/>
        </w:rPr>
        <w:t>E. 4</w:t>
      </w:r>
    </w:p>
    <w:p>
      <w:r>
        <w:t>a) En l'espèce, la décision querellée de retrait de permis a considéré d'abord que l'intéressé avait été condamné par ordonnance pénale du 22 avril 2013, pour avoir parqué un véhicule sans prendre les précautions nécessaires contre une mise en mouvement fortuite. Dès qu'il ne s'était pas opposé à cette ordonnance, les faits devaient être considérés comme établis. Elle a retenu ensuite l'existence d'une faute légère. Si le réclamant affirmait qu'il avait positionné le levier de vitesse sur " P " et serré le frein à main, son véhicule avait dévalé un talus pour s'immobiliser huit mètres plus loin. Au demeurant, il avait été victime d'une fissure de la cinquième cervicale et d'une fracture du sternum. Ainsi, la mise en danger créée en l'espèce devait être qualifiée de grave. L'infraction commise s'avérait par conséquent moyennement grave au sens de l'art. 16b al. 1 let. a LCR. b) Pour sa part, le recourant a fait valoir en substance que les autorités administratives, à savoir le SAN, puis sur recours la CDAP, n'étaient pas liées par l'ordonnance pénale du 22 avril 2013. En effet, celle-ci avait été rendue à l'issue d'une procédure sommaire et ne décrivait pas les infractions retenues, mais se bornait à se référer au rapport de gendarmerie. De plus, ce rapport retenait précisément qu'il avait coupé le moteur, mis le levier de vitesse sur " P " et tiré le frein à main avant de sortir de la voiture. Dans de telles circonstances et dès lors que rien dans le dossier ne démontrait qu'il aurait effectué une fausse manœuvre, notamment au moment de rechercher son téléphone, le recourant soutenait qu'aucune faute n'avait été établie, de sorte que sa responsabilité pénale n'était pas engagée. A titre subsidiaire, la faute commise ne serait que particulièrement bénigne. Quant à la mise en danger de la circulation, elle était inexistante, dès lors qu'il était parqué sur la place d'une entreprise privée, après les heures de fermeture, qu'aucun piéton, ouvrier ou véhicule n'était présent et qu'il était le seul blessé. Enfin, il fallait tenir compte du fait qu'il avait déjà été gravement atteint par les conséquences de l'accident. Sur ce point, le recourant reprenait l'argumentation développée dans sa réclamation. Partant, il a conclu à la libération de toute mesure administrative.</w:t>
      </w:r>
    </w:p>
    <w:p>
      <w:r>
        <w:rPr>
          <w:b/>
        </w:rPr>
        <w:t>E. 5</w:t>
      </w:r>
    </w:p>
    <w:p>
      <w:r>
        <w:t>Conformément à la jurisprudence exposée ci-dessus (consid. 3a), l'autorité administrative peut s'écarter des faits retenus par le juge pénal lorsque la décision a été rendue à l'issue d'une procédure sommaire, même si la décision pénale se fonde uniquement sur le rapport de police, notamment lorsque la personne impliquée savait ou aurait dû prévoir qu'une procédure administrative de retrait de permis serait également engagée. Le recourant n'a appris l'ouverture de la procédure administrative à son encontre que le 14 mai 2013, soit après l'échéance du délai d'opposition de dix jours à l'ordonnance pénale du 22 avril 2013. A cela s'ajoute que le recourant ne pouvait pas déduire de la seule ordonnance pénale le condamnant à une amende d'ordre de 100 fr., soit correspondant au tiers du montant maximum prévu pour les amendes d'ordre (art. 1 er al. 2 de la loi fédérale du 24 juin 1970 sur les amendes d'ordre; LAO; RS 741.03) qu'il ferait l'objet d'une procédure de retrait de permis. Comme le rappelle la doctrine, il découle de l'art. 16 al. 2 LCR qu'une mesure administrative - d'admonestation - ne peut pas être prononcée lorsqu'une infraction aux prescriptions routières relève de la procédure d'amendes d'ordre, ou qu'à tout le moins une telle procédure n'est pas exclue (Cédric Mizel, Les nouvelles dispositions légales sur le retrait du permis de conduire, in RDAF 2004 p. 361 ss, ch. 41 p. 386). Dans de telles conditions, on ne saurait reprocher au recourant de ne pas avoir contesté l'ordonnance pénale et de s'être limité à faire valoir les moyens qu'il a développés devant le SAN, puis devant l'autorité de céans. Cela étant, il n'est pas certain que seule une procédure sommaire ait été menée. En effet, non seulement l'ordonnance pénale inclut le rapport de police - avec des photographies des lieux prises le jour de l'accident -, mais il résulte de ce rapport que le recourant a été dûment entendu par la police, étant encore précisé que le procès-verbal de cette audition a été signé par l'intéressé et intégré au rapport. La question de savoir si l'autorité administrative est liée par les faits retenus par l'ordonnance pénale souffre toutefois de rester indécise en l'espèce. En effet, même à entrer en matière sur les contestations du recourant sur le plan des faits, cela ne conduit de toute façon pas à retenir des faits divergeant de ceux de l'ordonnance pénale, respectivement du rapport de police (cf. consid. 6 infra).</w:t>
      </w:r>
    </w:p>
    <w:p>
      <w:r>
        <w:rPr>
          <w:b/>
        </w:rPr>
        <w:t>E. 6</w:t>
      </w:r>
    </w:p>
    <w:p>
      <w:r>
        <w:t>a) L'ordonnance pénale du 22 avril 2013 se réfère au rapport de police annexé, notamment aux déclarations protocolées du recourant. Le rapport retient que le recourant avait, avant de quitter son véhicule, mis le levier de vitesse sur " P " et tiré le frein à main. Par la suite, il avait recherché son téléphone portable sur le siège du passager, puis était derechef sorti du véhicule afin de le consulter. C'est alors qu'il avait senti que le véhicule s'était mis en mouvement, qu'il avait tenté d'atteindre le frein à main, qu'il avait été emporté sur quelques mètres avant de lâcher prise, de passer sous la portière et de dévaler, avec le véhicule, un talus d'environ deux mètres. Le véhicule s'était immobilisé huit mètres plus loin. Ces éléments ne sont pas contestés par le recourant. En outre, selon le procès-verbal de l'audition menée par la police le 10 avril 2013, plus d'un mois après l'accident, l'intéressé a admis qu'il avait, en cherchant son téléphone portable sur le siège du passager, " certainement dû toucher le frein à main ou le levier de vitesse sans s'en rendre compte ". Dans ces conditions, force est de retenir sur le plan des faits que la mise en mouvement du véhicule résulte d'un geste - non intentionnel - du recourant ayant conduit à désactiver, partiellement ou complètement, le frein à main et/ou la boîte de vitesses, partant à affaiblir, respectivement supprimer l'effet d'immobilisation du véhicule. Le recourant a ainsi commis une faute. Il ressort par ailleurs des photographies annexées au rapport de police que l'endroit où le recourant avait immobilisé son véhicule apparaît pratiquement plat: ce n'est qu'après avoir spontanément reculé quelques mètres sur cette place pratiquement plate que la voiture a dévalé un talus de deux mètres, puis poursuivi sur huit mètres son trajet sur le champ également relativement plat en contrebas. La faute du recourant, consistant à avoir fortuitement désactivé, partiellement ou complètement, le frein à main et/ou la boîte de vitesses, doit par conséquent être qualifiée de bénigne au vu, notamment, de la faible déclivité du lieu initial d'immobilisation du véhicule. b) Il convient d'examiner le degré de mise en danger, étant rappelé que le SAN l'a qualifié de " grave " compte tenu, pour l'essentiel, de l'accident survenu au recourant. La mise en danger prise en considération par les art. 16a ss LCR concerne la sécurité " d'autrui ", à savoir les piétons, les passagers et les conducteurs des autres véhicules. De même, l'interprétation littérale de l'art. 2 let. a LAO, selon lequel la procédure prévue par la LAO ne s'applique pas aux infractions dont l'auteur a mis en danger ou blessé des personnes ou causé des dommages matériels, invite à retenir que les blessures ou les dommages matériels doivent avoir été causés à un tiers, de sorte que la LAO demeure applicable à l'auteur qui n'a causé des blessures ou des dommages qu'à lui-même, respectivement à son propre véhicule, sous réserve d'autres exceptions inhérentes notamment à la mise en danger de tiers (Yvan Jeanneret, Les dispositions pénales de la Loi sur la circulation routière, Berne 2007, n. 13 ad LAO). En d'autres termes, l'examen du degré de la mise en danger au regard des art. 16a ss LCR doit être opéré vis-à-vis des tiers, et partant faire abstraction du risque couru par le conducteur lui-même. En l'espèce, il n'y a dès lors pas lieu de tenir compte de l'accident survenu au recourant lui-même pour déterminer le degré de mise en danger. Il serait certes envisageable d'assimiler le conducteur à " autrui " lorsque celui-ci se trouve hors de son véhicule au moment de la mise en danger mais, en l'occurrence, le recourant a été lésé alors qu'il se tenait dans l'emprise de la portière - côté gauche conducteur selon le recours - et qu'il tentait d'atteindre le frein à main. Ainsi, seule doit être prise en considération ici la mise en danger de tiers proprement dits. A cet égard, il n'est pas contesté que le secteur était vide, l'accident étant survenu après les heures d'ouverture de l'entreprise occupant le parking. Il n'est toutefois pas exclu qu'un promeneur ait pu se trouver sur le trajet du véhicule, soit sur le parking, soit dans le champ en contrebas. Une légère mise en danger abstraite doit ainsi être retenue. C'est par conséquent à tort que la décision attaquée impute au recourant une grave mise en danger. c) La faute bénigne et la légère mise en danger abstraite retenues ci-dessus conduisent à considérer que le recourant a commis une infraction légère au sens de l'art. 16a al. 2 let. a LCR. Compte tenu de l'absence d'antécédents du recourant, seul un avertissement doit être prononcé (art. 16a al. 3 LCR). En revanche, prises globalement, la faute et la mise en danger restent trop importantes pour conclure à une infraction d'une particulière légèreté au sens de l'art. 16a al. 4 LCR. Il sied ainsi de s'en tenir à un avertissement.</w:t>
      </w:r>
    </w:p>
    <w:p>
      <w:r>
        <w:rPr>
          <w:b/>
        </w:rPr>
        <w:t>E. 7</w:t>
      </w:r>
    </w:p>
    <w:p>
      <w:r>
        <w:t>Les considérants qui précèdent conduisent à l'admission partielle du recours et à la réforme de la décision attaquée en ce sens que seul un avertissement doit être prononcé, les frais de la première décision étant réduits à 120 fr. (art. 23 al. 1 let. a du règlement sur les émoluments perçus par le Service des automobiles et de la navigation - RE-SAN; RSV 741.15.1). Le recourant, qui concluait à ce qu’aucune mesure administrative ne soit prononcée à son encontre, obtient partiellement gain de cause, de sorte qu'une partie des frais de la présente procédure de recours seront mis à sa charge. Pour les mêmes motifs, seuls des dépens réduits lui seront alloués,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