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CR.2013.0109 vom 19. Februar 2014</w:t>
      </w:r>
    </w:p>
    <w:p>
      <w:r>
        <w:t>VD Tribunal cantonal, 2014-02-19, FR</w:t>
      </w:r>
    </w:p>
    <w:p>
      <w:r>
        <w:rPr>
          <w:b/>
        </w:rPr>
        <w:t xml:space="preserve">Quelle: </w:t>
      </w:r>
      <w:r>
        <w:t>https://mcp.opencaselaw.ch/entscheid/vd_omni_CR.2013.0109</w:t>
      </w:r>
    </w:p>
    <w:p>
      <w:r>
        <w:t>FR: VD_OMNI CR.2013.0109 du 19 février 2014</w:t>
      </w:r>
    </w:p>
    <w:p>
      <w:r>
        <w:t>IT: VD_OMNI CR.2013.0109 del 19 febbraio 2014</w:t>
      </w:r>
    </w:p>
    <w:p>
      <w:pPr>
        <w:pStyle w:val="Heading2"/>
      </w:pPr>
      <w:r>
        <w:t>Regeste</w:t>
      </w:r>
    </w:p>
    <w:p>
      <w:r>
        <w:t>X.________/Service des automobiles et de la navigation | Retrait du permis de conduire pour une durée d'un mois prononcé à l'encontre d'un conducteur n'ayant pas observé la signalisation lumineuse (feu rouge) au passage à niveau dans un giratoire et étant entré en collision avec un tramway prioritaire. Selon la jurisprudence, le respect des signaux lumineux constitue une règle cardinale de la sécurité routière dont l'inobservation entraîne un risque sérieux d'accident puisque les autres usagers de la route accordent légitimement leur confiance à cette signalisation (consid. 3b). C'est à juste titre que le SAN a qualifié de grave la mise en danger créée par le comportement du recourant, étant notoire que le fait de percuter un véhicule représente un risque élevé de blessures pour les personnes impliquées (consid. 3c). S'agissant de la faute imputable au recourant, qui n'avait pas été en mesure d'apprécier correctement la phase de la signalisation lumineuse en raison du reflet du soleil sur cette installation, on peut admettre, en retenant l'appréciation de la situation la plus favorable à l'intéressé, que le comportement de ce dernier ne relève pas d'une négligence grossière. Toutefois, le recourant n'en a pas moins manqué de la prudence et de l'attention exigées par les circonstances. La question de savoir si sa faute doit être considérée comme légère ou moyennement grave peut cependant rester ouverte, étant donné la mise en danger grave créée (consid. 3d). Confirmation du retrait du permis de conduire prononcé.</w:t>
      </w:r>
    </w:p>
    <w:p>
      <w:pPr>
        <w:pStyle w:val="Heading2"/>
      </w:pPr>
      <w:r>
        <w:t>Erwägungen</w:t>
      </w:r>
    </w:p>
    <w:p>
      <w:r>
        <w:rPr>
          <w:b/>
        </w:rPr>
        <w:t>E. 1</w:t>
      </w:r>
    </w:p>
    <w:p>
      <w:r>
        <w:t>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1C_280/2012 du 28 juin 2013 consid. 2.1; 1C_353/2010 du 12 janvier 2011 consid. 2.1 et les références ). b) aa) En l’espèce, la procédure pénale dirigée à l’encontre du recourant a abouti au prononcé d’une ordonnance pénale le 19 juin 2012, assimilée à un jugement entré en force en l’absence d’opposition. Cette décision condamne l’intéressé à une peine d’amende pour, en date du 14 janvier 2012 à 15h13 à Meyrin, à l’intersection de la route de Meyrin et de la route du Mandement, au volant du véhicule automobile immatriculé VD ********, avoir fait preuve d’" inattention " et n’avoir pas " observé la signalisation lumineuse" , " avec accident et blessés ", enfreignant ainsi les art. 26, 27, 31 et 90 LCR,</w:t>
      </w:r>
    </w:p>
    <w:p>
      <w:r>
        <w:rPr>
          <w:b/>
        </w:rPr>
        <w:t>E. 3</w:t>
      </w:r>
    </w:p>
    <w:p>
      <w:r>
        <w:t>a) aa)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bb)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Les nouvelles dispositions légales sur le retrait du permis de conduire, in RDAF 2004 I 361 et ss, not. 392; TF 1C_87/2009 du 11 août 2009 consid. 3.1; ATF 136 II 447 consid. 3.2; 135 II 138 consid. 2.2.2; TF 6A.16/2006 du 6 avril 2006 consid. 2.1.1, in JT 2006 I 442). b) Selon la jurisprudence, le respect des signaux lumineux constitue une règle cardinale de la sécurité routière dont l'inobservation entraîne un risque sérieux d'accident puisque les autres usagers de la route accordent légitimement leur confiance à cette signalisation (TF 1C_27/2012 du 3 juillet 2012 consid. 3.5; ATF 118 IV 285 consid. 4). En l’espèce, l’autorité intimée a considéré que l’infraction commise par le recourant devait être qualifiée de moyennement grave, dès lors que la mise en danger créée par le comportement de l’intéressé devait être qualifiée de grave et que la faute pouvait être qualifiée de légère. c) aa)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(cf. arrêt CR.2011.0070 du 23 avril 2012 consid. 4c; CR.2011. 0062 du 9 février 2012 consid. 2b). La mise en danger concrète représente un risque élevé de blessures pour une personne concrète; elle consiste généralement en une collision avec un autre véhicule (Mizel, op. cit., pp. 369 et 371). Pour qu'une infraction à la LCR soit considérée comme grave, la mise en danger doit avoir atteint le stade de "mise en danger abstraite accrue" ou de "mise en danger concrète" (Mizel, op. cit., p. 395). bb) En l’occurrence, c’est à juste titre que l’autorité intimée a qualifié de grave la mise en danger créée par le comportement du recourant. Celui-ci a en effet mis sérieusement en danger la sécurité d'autrui au sens de l'art. 16c al. 1 let. a LCR, comme en témoigne la collision avec le tramway prioritaire survenue consécutivement à l’inobservation par l’intéressé de la phase rouge de la signalisation lumineuse; il est à cet égard notoire que le fait de percuter un véhicule représente un risque élevé de blessures pour les personnes impliquées (TF 1C_27/2012 précité consid. 3.3). d) aa) En retenant une faute légère à l’encontre du recourant, l’autorité intimée ne s'est pas écartée de l'appréciation juridique de l’autorité pénale. En effet, c'est en application de l'art. 90 ch. 1 LCR que l’ordonnance pénale du 19 juin 2012 a infligé une amende au recourant; or cette disposition recouvre les deux hypothèses de l'infraction légère ou moyennement grave prévues aux art. 16a et 16b LCR (ATF 128 II 139 consid. 2c; arrêts CR.2012.0034 du 25 septembre 2012; CR.2008.0034 du 2 mars 2009).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 387). bb) D'après la jurisprudence, a commis une faute grave le cycliste qui, à 8 heures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(TF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la situation exigeait une attention particulière de sa part (TF 6P.153/2002 du 14 mars 2003). Il en allait de même pour l'automobiliste qui, ébloui plusieurs fois par le soleil, avait continué de circuler à 55 km/h à l'intérieur d'une localité, en particulier sur un passage pour piétons, sans visibilité (TF 6S.628/2001 du 29 novembre 2001). En revanche, le Tribunal fédéral a nié l'existence d'une faute grave dans le cas d'un automobiliste qui, plusieurs secondes après le passage du feu au rouge, s'était engagé dans une intersection en omettant de respecter la signalisation, alors que la visibilité était bonne et le trafic peu dense (ATF 118 IV 285 consid. 4). Enfin, le Tribunal fédéral a considéré qu’un automobiliste qui, ébloui par le soleil et pensant que la signalisation lumineuse était à la phase verte pour lui, avait franchi un carrefour sans freiner à une vitesse d'environ 35 km/h, avait gravement méconnu les règles élémentaires de prudence et que son attitude constituait à tout le moins une négligence grossière; compte tenu des conditions de luminosité défavorable propres à empêcher une perception immédiate et sûre de la phase du signal lumineux, l’usager aurait dû s'approcher de l'intersection avec une vigilance particulière et s'abstenir de franchir ce carrefour d'importance, raccordé à l'autoroute, s'il n'avait pas acquis la certitude que le feu était effectivement vert; or, il n'avait pas adapté sa conduite aux conditions de luminosité précaires prévalant au moment de l'accident, lesquelles exigeaient pourtant une attention accrue à l'approche de cette intersection importante qu'il connaissait bien (TF 1C_27/2012 du 3 juillet 2012 consid. 3.5). cc) En l’espèce, il n’est pas contesté que ce n’est pas à dessein que le recourant a violé les règles de la circulation routière. Il résulte de l’état de fait que, circulant de jour, par beau temps, avec une visibilité normale et sans éclairage artificiel, sur une route sèche, au tracé plat, le recourant n’a pas été en mesure d’apprécier correctement la phase de la signalisation lumineuse régissant le passage à niveau en raison d’un reflet provoqué par les conditions de luminosité à cet instant. En retenant l’appréciation de la situation la plus favorable pour le recourant, on peut admettre que le comportement de l’intéressé ne relève pas d’une négligence grossière. On ne saurait donc lui imputer une faute grave. Toutefois, le recourant n'en a pas moins manqué de la prudence et de l'attention exigées par les circonstances. En effet, même s’il n’avait pas remarqué que la signalisation lumineuse était en phase rouge, cela ne le dispensait pas, avant de s’engager au passage à niveau, de s’assurer brièvement qu’aucun tramway ne provenait de sa gauche. La question de savoir si la faute du recourant doit être considérée comme légère ou comme moyennement grave peut néanmoins rester ouverte. En effet, dans un cas comme dans l’autre, l’infraction commise doit en définitive être qualifiée de moyennement grave, étant donné la mise en danger grave créée par le comportement de l’intéressé (cf. consid. 3c/bb supra). e) aa) Après une infraction moyennement grave, le permis de conduire est retiré pour un mois au minimum (art. 16b al. 2 let. a LCR). La durée minimale du retrait ne peut être réduite (art. 16 al. 3 LCR). bb) En l’occurrence, la durée du retrait de permis ne saurait être mise en cause par le recourant puisque l’autorité intimée a prononcé à son encontre un retrait de permis d’une durée correspondant au minimum légal prévu par le législateur, soit un mois.</w:t>
      </w:r>
    </w:p>
    <w:p>
      <w:r>
        <w:rPr>
          <w:b/>
        </w:rPr>
        <w:t>E. 4</w:t>
      </w:r>
    </w:p>
    <w:p>
      <w:r>
        <w:t>Il résulte des considérants qui précèdent que le recours doit être rejeté et la décision attaquée confirmée. Le SAN fixera un nouveau délai au recourant pour le dépôt de son permis de conduire. Le recourant, qui succombe, supportera les frais de justice (art. 49 al. 1 et 91 de la loi du 28 octobre 2008 sur la procédure administrative [LPA-VD; RSV 173.36])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