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CR.2013.0094 vom 15. April 2014</w:t>
      </w:r>
    </w:p>
    <w:p>
      <w:r>
        <w:t>VD Tribunal cantonal, 2014-04-15, FR</w:t>
      </w:r>
    </w:p>
    <w:p>
      <w:r>
        <w:rPr>
          <w:b/>
        </w:rPr>
        <w:t xml:space="preserve">Quelle: </w:t>
      </w:r>
      <w:r>
        <w:t>https://mcp.opencaselaw.ch/entscheid/vd_omni_CR.2013.0094</w:t>
      </w:r>
    </w:p>
    <w:p>
      <w:r>
        <w:t>FR: VD_OMNI CR.2013.0094 du 15 avril 2014</w:t>
      </w:r>
    </w:p>
    <w:p>
      <w:r>
        <w:t>IT: VD_OMNI CR.2013.0094 del 15 aprile 2014</w:t>
      </w:r>
    </w:p>
    <w:p>
      <w:pPr>
        <w:pStyle w:val="Heading2"/>
      </w:pPr>
      <w:r>
        <w:t>Regeste</w:t>
      </w:r>
    </w:p>
    <w:p>
      <w:r>
        <w:t>X.________/Service des automobiles et de la navigation | Recours contre une décision sur réclamation prononçant le retrait préventif du permis de conduire d'un usager compte tenu de sérieux doutes quant à son aptitude à la conduite. Quoi qu'en dise le recourant, il s'impose de constater que les doutes qui ont motivé le retrait préventif litigieux - initialement fondés sur le fait que l'intéressé n'avait pas produit toutes les pièces requises s'agissant d'apprécier si et dans quelle mesure il avait respecté les conditions auxquelles était soumis le maintien de son droit de conduire - n'ont pas été infirmés par les pièces qu'il a produites postérieurement, dont il résulte bien plutôt qu'il n'a pas respecté la condition d'abstinence stricte de toute consommation d'alcool; en tant qu'elle confirme le retrait préventif du permis de conduire du recourant en raison de l'existence de doutes quant à son aptitude à la conduite, la décision sur réclamation attaquée ne prête dès lors pas le flanc à la critique.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Est litigieux le retrait préventif du permis de conduire prononcé à l'encontre du recourant compte tenu de l'existence de doutes quant à son aptitude à la conduite. Dans ce cadre, l'intéressé fait en substance valoir que les différentes pièces produites postérieurement à la décision initiale du SAN du 23 juillet 2013 justifient que cette dernière décision soit reconsidérée dans le sens du maintien de son droit de conduire. a) Selon l'art. 16d al. 1 de la loi fédérale du 19 décembre 1958 sur la circulation routière (LCR; RS 741.01),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Aux termes de l'art. 30 de l'ordonnance fédérale du 27 octobre 1976 réglant l’admission des personnes et des véhicules à la circulation routière (OAC; RS 741.51), le permis de conduire peut être retiré à titre préventif lorsqu'il existe des doutes sérieux quant à l'aptitude à conduire de l'intéressé. Selon la jurisprudence, l'art. 30 OAC institue une mesure provisoire destinée à protéger les intérêts menacés jusqu'à l'issue de la procédure principale portant sur un retrait de sécurité. Compte tenu de l'importance du risque inhérent à la conduite de véhicules automobiles, il s'impose en effet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 si une telle preuve était apportée, c'est en effet un retrait de sécurité qu'il y aurait lieu d'ordonner sans plus attendre; le retrait préventif intervient bien plutôt, par définition, avant que tous les éclaircissements nécessaires pour juger de la nécessité d'un retrait de sécurité aient été obtenus (cf. ATF 1C_173/2009 du 27 mai 2009 consid. 3.1 et les références). Cela étant, comme l'intéressé ne peut pas être privé durablement de son permis de conduire si la preuve de son inaptitude n'est pas faite (cf. notamment art. 16d LCR a contrario ), une telle mesure doit s'inscrire dans une procédure de retrait de sécurité; l'expertise ordonnée dans le cadre de cette procédure doit être exécutée dans les meilleurs délais, afin que le permis puisse être restitué au plus vite à son titulaire s'il n'y a pas lieu de prononcer un retrait de sécurité (ATF 1C_420/2007 du 18 mars 2008 consid. 3.2 et la référence). b) En l'espèce, par décision du 28 août 2012, l'autorité intimée a révoqué la mesure de sécurité prononcée à l'encontre du recourant, subordonnant toutefois le maintien de son droit de conduire à différentes conditions (cf. art. 17 al. 3 LCR), notamment à la poursuite d'une abstinence stricte de toute consommation d'alcool; cette décision, qui est entrée en force faute d'avoir été contestée en temps utile, ne saurait être remise en cause dans le cadre de la présente procédure - l'intéressé ne le prétend du reste pas. On se contentera de relever dans ce cadre que les experts de l'UMPT ont retenu dans leur rapport du 8 décembre 2011 que le recourant présentait une dépendance à l'alcool (en référence aux critères de dépendance selon la définition de la CIM-10), et que la jurisprudence a déjà eu l'occasion de relever que l’observation d’une abstinence de toute consommation d’alcool était le seul moyen permettant à l'intéressé de démontrer qu'il était parvenu à surmonter durablement son inaptitude en ayant cessé toute consommation d'alcool sur une longue période (cf. arrêt CR.2013.0114 du 26 février 2014 consid. 2c et la référence). Cela étant, par décision du 23 juillet 2013, l'autorité intimée a prononcé le retrait à titre préventif du permis de conduire du recourant, au motif que, compte tenu du caractère lacunaire du rapport établi le 11 juillet 2013 par le Dr Y.________ et de l'absence d'analyse capillaire, des doutes apparaissaient quant à son aptitude à la conduite. L'intéressé fait en substance valoir que les pièces qu'il a produites postérieurement à cette décision justifieraient que celle-ci soit réexaminée dans le sens du maintien de son droit de conduire. Il résulte dans ce cadre sans équivoque de l'avis du CURML du 14 janvier 2014 que la concentration d'EtG mesurée dans les cheveux de l'intéressé au mois de juillet 2013 ne peut s'expliquer par une consommation de bière sans alcool, fût-elle durable et excessive. Il convient dès lors de retenir que le recourant a consommé de l'alcool postérieurement à la décision du 28 août 2012 - peu important pour le reste à ce stade de déterminer s'il s'agit d'une consommation modérée d'éthanol dans les quatre à six mois ayant précédé le prélèvement, ou d'une consommation répétée et excessive d'éthanol antérieure à cette même période; il apparaît au demeurant que l'intéressé ne conteste plus, dans sa dernière écriture du 28 février 2014, qu'il ait consommé de l'alcool postérieurement à la décision du 28 août 2012 (à tout le moins pas expressément), se contentant de relever que le CURML "ne démontre pas qu'il consomme ou ait consommé ces derniers mois des quantités exagérées d'alcool l'empêchant de conduire". Quoi qu'il en soit, il s'impose de constater que le recourant n'a pas respecté l'abstinence stricte de toute consommation d'alcool à laquelle était subordonné le maintien de son droit de conduire. Ce seul élément suffit à faire naître de sérieux doutes quant à son aptitude à la conduite, respectivement à justifier que son permis de conduire lui soit à nouveau retiré (cf. art. 17 al. 5 LCR) - à tout le moins à titre préventif. Il importe peu dans ce cadre qu'il ne soit pas établi que le recourant aurait consommé des quantités exagérées d'alcool; le besoin de conduire dont le recourant se prévaut en lien avec l'exercice de son activité professionnelle ne saurait pas davantage entrer en ligne de compte, dès lors que c'est son aptitude à la conduite elle-même qui est remise en cause. En définitive, il apparaît ainsi que les doutes qui ont motivé le retrait préventif litigieux - initialement fondés sur le fait que le recourant n'avait pas produit toutes les pièces requises s'agissant d'apprécier si et dans quelle mesure il avait respecté les conditions à laquelle était soumis le maintien de son droit de conduire - n'ont pas été infirmés par les pièces produites postérieurement par l'intéressé, le rapport de l'analyse capillaire du 25 juillet 2013 attestant bien plutôt du fait que ce dernier n'a pas respecté la condition d'abstinence stricte de toute consommation d'alcool. En tant qu'elle confirme le retrait préventif du permis de conduire du recourant en raison de l'existence de doutes quant à son aptitude à la conduite, la décision attaquée ne prête dès lors pas le flanc à la critique - étant précisé qu'il appartiendra pour le reste à l'autorité intimée, après avoir procédé aux éventuelles mesures d'instruction complémentaires utiles, de se prononcer dans les meilleurs délais sur un éventuel retrait de sécurité.</w:t>
      </w:r>
    </w:p>
    <w:p>
      <w:r>
        <w:rPr>
          <w:b/>
        </w:rPr>
        <w:t>E. 3</w:t>
      </w:r>
    </w:p>
    <w:p>
      <w:r>
        <w:t>Il résulte des considérant qui précèdent que le recours doit être rejeté et la décision attaquée confirmée. Dès lors qu'il est statué sur le fond du litige, la requête du recourant tendant à la restitution de l'effet suspensif au recours n'a plus d'objet. Un émolument de 600 fr. est mis à la charge du recourant, qui succombe (cf. art. 49 al. 1 LPA-VD). Compte tenu de l'issue du litige, il n'y a pas lieu d'octroyer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