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CR.2013.0093 vom 27. Februar 2014</w:t>
      </w:r>
    </w:p>
    <w:p>
      <w:r>
        <w:t>VD Tribunal cantonal, 2014-02-27, FR</w:t>
      </w:r>
    </w:p>
    <w:p>
      <w:r>
        <w:rPr>
          <w:b/>
        </w:rPr>
        <w:t xml:space="preserve">Quelle: </w:t>
      </w:r>
      <w:r>
        <w:t>https://mcp.opencaselaw.ch/entscheid/vd_omni_CR.2013.0093</w:t>
      </w:r>
    </w:p>
    <w:p>
      <w:r>
        <w:t>FR: VD_OMNI CR.2013.0093 du 27 février 2014</w:t>
      </w:r>
    </w:p>
    <w:p>
      <w:r>
        <w:t>IT: VD_OMNI CR.2013.0093 del 27 febbraio 2014</w:t>
      </w:r>
    </w:p>
    <w:p>
      <w:pPr>
        <w:pStyle w:val="Heading2"/>
      </w:pPr>
      <w:r>
        <w:t>Regeste</w:t>
      </w:r>
    </w:p>
    <w:p>
      <w:r>
        <w:t>X.________/Service des automobiles et de la navigation | Retrait de permis de conduire d'une durée d'un mois prononcé à l'encontre d'un conducteur ayant circulé au volant d'un véhicule de livraison surchargé. Recours du conducteur. La simple attestation déposée postérieurement par le constructeur du véhicule ne saurait prendre le pas sur les données techniques résultant de la fiche de réception par type correspondant au véhicule en cause (consid. 4). Par son comportement, le recourant a créé une mise en danger abstraite du trafic au vu de la jurisprudence, sur la base de laquelle il y a lieu de retenir qu'un excédent de 1'194 kg représentant une surcharge de 34.11% du poids total autorisé, ainsi qu'un dépassement de la charge maximale de 510 kg sur l'essieu n° 2 représentant une surcharge de 21.25%, constitue une infraction moyennement grave au sens de l'art. 16b al. 1 let. a LCR (consid. 5). Rejet du recours. Recours au Tribunal fédéral rejeté par ATF 1C_181/2014 du 8 octobre 2014.</w:t>
      </w:r>
    </w:p>
    <w:p>
      <w:pPr>
        <w:pStyle w:val="Heading2"/>
      </w:pPr>
      <w:r>
        <w:t>Erwägungen</w:t>
      </w:r>
    </w:p>
    <w:p>
      <w:r>
        <w:rPr>
          <w:b/>
        </w:rPr>
        <w:t>E. 1</w:t>
      </w:r>
    </w:p>
    <w:p>
      <w:r>
        <w:t>let. a LCR est ainsi subordonnée à la double gravité de la faute commise et de la mise en danger objective (Mizel, op. cit., p. 395).</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1C_280/2012 du 28 juin 2013 consid. 2.1; 1C_353/2010 du 12 janvier 2011 consid. 2.1 et les références ). b) En l’espèce, le recourant a, le 25 avril 2013, circulé avec un véhicule automobile dont le chargement présentait un excédent de 1'194 kg, marge de sécurité déduite, du poids total autorisé, par 3'500 kg, soit une surcharge de 34.11% (correspondant à un poids effectif de 4’694 kg), et dont l’essieu n° 1 présentait un dépassement de la charge maximale de 0.22% (1’804 kg, soit 4 kg de dépassement) et l’essieu n° 2 de 21.25% (2’910 kg, soit 510 kg de dépassement) . Ces faits, sur lesquels le juge pénal s’est fondé pour rendre son ordonnance du 9 juillet 2013, ne sont pas litigieux. Le recourant conteste en revanche que son comportement ait pu créer une situation de danger concret ou une mise en danger abstraite, soutenant que le véhicule qu’il conduisait peut, selon les spécifications indiquées par le constructeur, supporter une charge de poids supérieure aux limites autorisées dans la classe pour laquelle il est immatriculé; il se réfère à cet égard à la motivation de l’ordonnance pénale du 9 juillet 2013. Par ailleurs, le recourant soutient que seule une faute bénigne au sens de l’art. 16a al. 1 let. a LCR peut lui être imputée, dès lors qu’il n’a pas chargé seul le véhicule en cause, d’une part, que le poids des objets chargés – des praticables de théâtre – n’était pas répertorié, empêchant tout contrôle de sa part, d’autre part, et, enfin, qu’il n’avait aucune raison de constater, mécaniquement, une surcharge quelconque, compte tenu des spécifications du véhicule.</w:t>
      </w:r>
    </w:p>
    <w:p>
      <w:r>
        <w:rPr>
          <w:b/>
        </w:rPr>
        <w:t>E. 3</w:t>
      </w:r>
    </w:p>
    <w:p>
      <w:r>
        <w:t>Le «poids garanti» (poids maximal techniquement autorisé) équivaut au poids maximal admis par le constructeur. Il correspond à la «masse maximale» selon la terminologie de l’UE.</w:t>
      </w:r>
    </w:p>
    <w:p>
      <w:r>
        <w:rPr>
          <w:b/>
        </w:rPr>
        <w:t>E. 4</w:t>
      </w:r>
    </w:p>
    <w:p>
      <w:r>
        <w:t>Le «poids total» est le poids déterminant pour l’immatriculation (art. 9, al. 3bis, LCR). Il s’agit du poids maximal autorisé pour la circulation du véhicule.</w:t>
      </w:r>
    </w:p>
    <w:p>
      <w:r>
        <w:rPr>
          <w:b/>
        </w:rPr>
        <w:t>E. 5</w:t>
      </w:r>
    </w:p>
    <w:p>
      <w:r>
        <w:t>La «charge utile» équivaut – sous réserve de l’al. 7 – à la différence entre le poids total et le poids à vide.</w:t>
      </w:r>
    </w:p>
    <w:p>
      <w:r>
        <w:rPr>
          <w:b/>
        </w:rPr>
        <w:t>E. 6</w:t>
      </w:r>
    </w:p>
    <w:p>
      <w:r>
        <w:t>Le «poids de l’ensemble» (poids de l’ensemble de véhicules) équivaut au poids total d’un ensemble formé d’un véhicule tracteur et de remorques.</w:t>
      </w:r>
    </w:p>
    <w:p>
      <w:r>
        <w:rPr>
          <w:b/>
        </w:rPr>
        <w:t>E. 7</w:t>
      </w:r>
    </w:p>
    <w:p>
      <w:r>
        <w:t>a) Selon l'art. 16b al. 2 let. a LCR, après une infraction moyennement grave, le permis de conduire est retiré pour un mois au minimum.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 c) En l'espèce, l'autorité intimée a sanctionné le recourant par un retrait de permis d'une durée d'un mois. Elle s'en est dès lors tenue à la durée minimale prévue par l'art. 16b al. 2 let. a LCR. Le tribunal ne peut ainsi que confirmer la sanction prononcée, en dépit des bons antécédents du recourant et de l'utilité professionnelle de son permis de conduire.</w:t>
      </w:r>
    </w:p>
    <w:p>
      <w:r>
        <w:rPr>
          <w:b/>
        </w:rPr>
        <w:t>E. 8</w:t>
      </w:r>
    </w:p>
    <w:p>
      <w:r>
        <w:t>Il résulte des considérants qui précèdent que le recours doit être rejeté et la décision attaquée confirmée. Le SAN fixera un nouveau délai au recourant pour le dépôt de son permis de conduire. Le recourant, qui succombe, supportera les frais de justice (art. 49 al. 1 et 91 de la loi du 28 octobre 2008 sur la procédure administrative [LPA-VD; RSV 173.36])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