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CR.2013.0091 vom 13. November 2013</w:t>
      </w:r>
    </w:p>
    <w:p>
      <w:r>
        <w:t>VD Tribunal cantonal, 2013-11-13, FR</w:t>
      </w:r>
    </w:p>
    <w:p>
      <w:r>
        <w:rPr>
          <w:b/>
        </w:rPr>
        <w:t xml:space="preserve">Quelle: </w:t>
      </w:r>
      <w:r>
        <w:t>https://mcp.opencaselaw.ch/entscheid/vd_omni_CR.2013.0091</w:t>
      </w:r>
    </w:p>
    <w:p>
      <w:r>
        <w:t>FR: VD_OMNI CR.2013.0091 du 13 novembre 2013</w:t>
      </w:r>
    </w:p>
    <w:p>
      <w:r>
        <w:t>IT: VD_OMNI CR.2013.0091 del 13 novembre 2013</w:t>
      </w:r>
    </w:p>
    <w:p>
      <w:pPr>
        <w:pStyle w:val="Heading2"/>
      </w:pPr>
      <w:r>
        <w:t>Regeste</w:t>
      </w:r>
    </w:p>
    <w:p>
      <w:r>
        <w:t>X.________/Service des automobiles et de la navigation | Non-respect d'un signal "Cédez-le-passage", avec accident. Conditions pour s'écarter des faits retenus par le juge pénal non réalisées. C'est à juste titre que le SAN a qualifié l'infraction commise de moyennement grave au sens de l'art. 16b LCR, la mise en danger créée ne pouvant être considérée comme légère. Le recourant se prévaut en vain de la qualification retenue par le juge pénal. Si l'art. 90 ch. 2 LCR correspond à l'infraction grave prévue à l'art. 16c LCR, l'art. 90 ch. 1 LCR recouvre en fait les deux hypothèses de l'infraction légère ou moyennement grave prévues aux art. 16a et 16b LCR. Retrait d'un mois, correspondant au minimum légal, confirmé.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La LCR distingue les infractions légères, moyennement graves et graves (art. 16a - c LCR). - Commet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 b) L'art. 27 al. 1, 1 ère phrase, LCR dispose que chacun se conformera aux signaux et aux marques ainsi qu'aux ordres de la police. Selon l'art. 36 al. 2, 1 ère phrase, de l'ordonnance fédérale du 5 septembre 1979 sur la signalisation routière (OSR; RS 741.21), le signal "Cédez-le-passage" oblige le conducteur à accorder la priorité aux véhicules circulant sur la route dont il s'approche. L'art. 14 al. 1 de l'ordonnance fédérale du 13 novembre 1962 sur la circulation routière (OCR; RS 741.11) précise que c elui qui est tenu d’accorder la priorité ne doit pas gêner dans sa marche le conducteur bénéficiaire de la priorité. Il réduira sa vitesse à temps et, s’il doit attendre, s’arrêtera avant le début de l’intersection. c)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(art. 16 al. 3 LCR). S’agissant de la durée du retrait, le législateur s’est ainsi clairement prononcé pour un retrait impératif dans les cas de moyenne gravité, même si le contrevenant jouissait d’une réputation sans tache en tant que conducteur. Ce dernier élément ne jouera un rôle que pour fixer la durée du retrait du permis de conduire (ATF 128 II 282).</w:t>
      </w:r>
    </w:p>
    <w:p>
      <w:r>
        <w:rPr>
          <w:b/>
        </w:rPr>
        <w:t>E. 2.1</w:t>
      </w:r>
    </w:p>
    <w:p>
      <w:r>
        <w:t>et les références). S’agissant de la durée de la mesure, il ne peut être tenu compte des bons antécédents du recourant et de l’utilité professionnelle de son permis (alors même que ces éléments ne sont pas douteux), dès lors que la durée d’un mois correspond au minimum légal prévu par le législateur.</w:t>
      </w:r>
    </w:p>
    <w:p>
      <w:r>
        <w:rPr>
          <w:b/>
        </w:rPr>
        <w:t>E. 2.4</w:t>
      </w:r>
    </w:p>
    <w:p>
      <w:r>
        <w:t>p. 315; 123 II 97 consid. 3c/aa p. 104; 105 Ib 18 consid. 1a et les références).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 ATF 123 II 97 consid. 3c/aa p. 104; 121 II 214 consid. 3a p. 217 s.; voir ég. arrêt 1C_502/2011 du 6 mars 2012 consid. 2.1). b) En l'espèce, par ordonnance pénale du 22 mars 2013, entrée en force faute de recours, le Ministère public du canton de Berne a condamné le recourant pour n'avoir pas respecté un signal "Cédez-le-passage" et avoir commis de ce fait un accident. Le recourant n'invoque dans ses écritures aucun moyen de preuve nouveau dont l'appréciation conduirait à un résultat différent de celui retenu par le juge pénal. En particulier, les photographies produites ne sont pas concluantes. Elles montrent certes que la chaussée sur la "Schützenstrasse" était partiellement mouillée et couverte de résidus de neige (ce qui figurait du reste déjà dans le "Unfallaufnahmeprotokoll" annexé au rapport de dénonciation du 27 février 2013); le marquage au sol du "Cédez-le-passage" restait en revanche visible, contrairement à ce qu'affirme le recourant. Les conditions pour s'écarter des faits retenus par le juge pénal ne sont dès lors pas réalisées.</w:t>
      </w:r>
    </w:p>
    <w:p>
      <w:r>
        <w:rPr>
          <w:b/>
        </w:rPr>
        <w:t>E. 3</w:t>
      </w:r>
    </w:p>
    <w:p>
      <w:r>
        <w:t>Le recourant conteste les faits qui lui sont reprochés, ou à tout le moins les minimise. Il expose en effet que, contrairement à ce que relève le rapport de dénonciation, la chaussée n'était pas sèche, mais partiellement mouillée et recouverte de résidus de neige, qui masquaient la ligne d'attente du "Cédez-le-passage". Il relève par ailleurs que le panneau de signalisation se trouvait à plus de 30 mètres de l'intersection. Il soutient que ces circonstances l'ont amené à croire que l'intersection était soumise à la priorité de droite. a)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 ATF 137 I 363 consid. 2.3.2 p. 368 et les références).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129 II 312 consid.</w:t>
      </w:r>
    </w:p>
    <w:p>
      <w:r>
        <w:rPr>
          <w:b/>
        </w:rPr>
        <w:t>E. 4</w:t>
      </w:r>
    </w:p>
    <w:p>
      <w:r>
        <w:t>Le recourant conteste également la qualification de l'infraction commise. Il soutient que celle-ci doit être qualifiée de légèrement grave et non de moyennement grave. Il reproche à cet égard au SAN de s'être écarté de l'appréciation réalisée par le juge pénal, qui a retenu une violation simple des règles de la circulation routière au sens de l'art. 90 ch. 1 LCR. a) La qualification de l'infraction dépend du degré de la mise en danger de la sécurité d'autrui ainsi que de la gravité de la faute imputable au conducteur concerné (ATF 1C_235/2007 du 29 novembre 2007; voir ég. Message du Conseil fédéral du 31 mars 1999 concernant la modification de la loi fédérale de la circulation routière, FF 1999 IV p. 4131 ss; C. Mizel, Les nouvelles dispositions légales sur le retrait du permis de conduire, in RDAF 2004 I 383 s.). Une infraction est qualifiée de légère au sens de l'art. 16a al. 1 LCR, lorsque la faute est légère et la mise en danger légère; de grave au sens de l'art. 16c al. 1 let. a LCR, lorsque la faute est grave et la mise en danger grave; et de moyennement grave au sens de l'art. 16b al. 1 let. a LCR,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Le législateur conçoit en effet l'art. 16b al. 1 let. a LCR comme l'élément dit de regroupement (Message, FF 1999 IV 4132 et 4134; René Schaffhauser, Die neuen Administrativmassnahmen des Strassenverkehrsgesetzes , in Jahrbuch zum Strassenverkehrsrecht 203, p. 186; C. Mizel, op. cit. p. 392). b) En l'espèce, en ne respectant pas un signal "Cédez-le-passage" et en provoquant un accident, le recourant a concrètement mis en danger d'autres usagers de la route. De telles collisions peuvent entraîner des blessures sérieuses, telles que le coup du lapin. Les dégâts matériels occasionnés ne sont par ailleurs pas négligeables contrairement à ce qu'affirme le recourant, puisqu'ils ont été estimés par la police à environ 15'000 fr. et que le véhicule de Y.________ a dû être remorqué par une entreprise de dépannage. La fille de ce dernier, qui l'accompagnait, s'est de plus cognée à la tête à la suite du choc et a dû se rendre à l'hôpital pour un contrôle. On dépasse ainsi largement le cadre d'une simple "touchette" à vitesse réduite. La mise en danger créée par le comportement du recourant ne saurait dans ces circonstances être considérée comme légère. La question de la gravité de la faute commise peut dans ce cas rester indécise. La double condition de légèreté de la faute et de la mise en danger n'étant pas réalisée, c'est à juste titre que l'autorité intimée a qualifié l'infraction commise de moyennement grave au sens de l'art. 16b al. 1 let. a LCR. Cette qualification est pleinement conforme à la jurisprudence de la CDAP, qui a retenu à différentes reprises que le fait de ne pas respecter la priorité en quittant une route déclassée par un signal "cédez-le-passage" ou "stop" et de causer ainsi un accident était constitutif d'une infraction moyennement grave (arrêts CR.2012.0018 du 8 janvier 2013, CR.2012.0034 du 25 septembre 2012 confirmé sur recours par l'ATF 1C_548/2012 du 6 août 2013, CR.2008.179 du 18 décembre 2008 et CR.2007.162 du 14 décembre 2007). Le recourant se prévaut enfin en vain de la qualification retenue par le Ministère public du canton de Berne. En effet, si l'art. 90 ch. 2 LCR correspond à l'infraction grave prévue à l'art. 16c LCR, l'art. 90 ch. 1 LCR recouvre en fait les deux hypothèses de l'infraction légère ou moyennement grave prévues aux art. 16a et 16b LCR (ATF 128 II 139 consid. 2c; arrêts CR.2012.0034 du 25 septembre 2012 consid. 3 et CR.2008.0034 du 2 mars 2009 consid. 2). De toute manière, comme l'a rappelé le SAN dans la décision attaquée, si l'autorité administrative est en principe liée par les faits retenus au pénal, il en va différemment des questions de droit, en particulier de l'appréciation de la faute et de la mise en danger (arrêt 1C_353/2010 du 12 janvier 2011 consid.</w:t>
      </w:r>
    </w:p>
    <w:p>
      <w:r>
        <w:rPr>
          <w:b/>
        </w:rPr>
        <w:t>E. 5</w:t>
      </w:r>
    </w:p>
    <w:p>
      <w:r>
        <w:t>Les considérants qui précèdent conduisent au rejet du recours et à la confirmation de la décision attaquée. Le recourant, qui succombe, supportera les frais de justice (art. 49 al. 1 LPA-VD). Il n'a par ailleurs pas droit à l'allocation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