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CR.2013.0087 vom 13. November 2013</w:t>
      </w:r>
    </w:p>
    <w:p>
      <w:r>
        <w:t>VD Tribunal cantonal, 2013-11-13, FR</w:t>
      </w:r>
    </w:p>
    <w:p>
      <w:r>
        <w:rPr>
          <w:b/>
        </w:rPr>
        <w:t xml:space="preserve">Quelle: </w:t>
      </w:r>
      <w:r>
        <w:t>https://mcp.opencaselaw.ch/entscheid/vd_omni_CR.2013.0087</w:t>
      </w:r>
    </w:p>
    <w:p>
      <w:r>
        <w:t>FR: VD_OMNI CR.2013.0087 du 13 novembre 2013</w:t>
      </w:r>
    </w:p>
    <w:p>
      <w:r>
        <w:t>IT: VD_OMNI CR.2013.0087 del 13 novembre 2013</w:t>
      </w:r>
    </w:p>
    <w:p>
      <w:pPr>
        <w:pStyle w:val="Heading2"/>
      </w:pPr>
      <w:r>
        <w:t>Regeste</w:t>
      </w:r>
    </w:p>
    <w:p>
      <w:r>
        <w:t>X.________/Service des automobiles et de la navigation | Retrait du permis de conduire de trois mois d'un motard qui a effectué à deux reprises un dépassement par la droite sur l'autoroute. Le recourant soutient qu'il aurait commis une infraction devant être qualifiée de moyenne gravité au vu des circonstances (bonnes conditions météorlogiques; ciel dégagé, chaussée sèche et espace suffisant lors de sa manoeuvre). A tort au vu de la jurisprudence. L'art. 16c al. 1 let. a LCR (infraction grave) est, en effet, applicable: le recourant a délibérément enfreint l'art. 35 al. 1 LCR et, ce faisant, il a induit un risque d'accident très élevé. Les circonstances invoquées n'étaient pas propres à le mettre à l'abri du danger potentiel auquel il a exposé les autres usagers et lui-même. Recours rejeté.</w:t>
      </w:r>
    </w:p>
    <w:p>
      <w:pPr>
        <w:pStyle w:val="Heading2"/>
      </w:pPr>
      <w:r>
        <w:t>Erwägungen</w:t>
      </w:r>
    </w:p>
    <w:p>
      <w:r>
        <w:rPr>
          <w:b/>
        </w:rPr>
        <w:t>E. 1</w:t>
      </w:r>
    </w:p>
    <w:p>
      <w:r>
        <w:t>Le recours est manifestement recevable; il y a lieu d'entrer en matière sur le fond.</w:t>
      </w:r>
    </w:p>
    <w:p>
      <w:r>
        <w:rPr>
          <w:b/>
        </w:rPr>
        <w:t>E. 2</w:t>
      </w:r>
    </w:p>
    <w:p>
      <w:r>
        <w:t>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ATF 129 II 312 consid.</w:t>
      </w:r>
    </w:p>
    <w:p>
      <w:r>
        <w:rPr>
          <w:b/>
        </w:rPr>
        <w:t>E. 2.4</w:t>
      </w:r>
    </w:p>
    <w:p>
      <w:r>
        <w:t>p. 315; ATF 123 II 97 consid. 3c/aa p. 104; ATF 105 Ib 18 consid. 1a et réf. cit.). Si les faits retenus au pénal lient donc en principe l'autorité et le juge administratifs, il en va différemment des questions de droit, en particulier de l'appréciation de la faute et de la mise en danger (arrêt 1C_353/2010 du 12 janvier 2011 consid. 2.2 et réf. cit.). b) En l'espèce, les faits ne sont pas contestés. L'ordonnance pénale est en force. Les parties discutent, en revanche, la qualification juridique des faits. En l'occurrence, l e prononcé préfectoral du 20 mai 2013 a reconnu l e recourant coupable de violation simple des règles de la circulation routière sur la base du seul rapport d e la gendarmerie du 25 avril 2013 . Le Préfet n'a entendu ni l e recourant, ni les gendarmes, et n'a pas procédé à de plus amples mesures probatoires. Il faut en inférer que l'appréciation juridique de l'autorité pénale ne résulte pas d'une connaissance plus approfondie des faits pertinents. Le SAN , qui dispose du mê me dossier, puis sur recours la Cour de céans , sont dès lors libres de procéder à leur propre appréciation juridique des faits pertinents (ATF 1C_280/2012 du 28 juin 2013 consid. 2.1).</w:t>
      </w:r>
    </w:p>
    <w:p>
      <w:r>
        <w:rPr>
          <w:b/>
        </w:rPr>
        <w:t>E. 3</w:t>
      </w:r>
    </w:p>
    <w:p>
      <w:r>
        <w:t>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b) L'art. 35 al. 1 LCR prévoit que l es croisements se font à droite, les dépassements à gauche. Cette disposition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(ATF 126 IV 192 consid. 2a p. 194; ATF 115 IV 244 consid. 2; ATF 114 IV 55 consid. 1). En revanche, le devancement par la droite est autorisé à certaines conditions. Ainsi, sur les autoroutes et semi-autoroutes, l'art.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128 II 285 consid. 1.4 p. 288). Enfin, selon la jurisprudence, il y a dépassement et non simple devancement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(ATF 126 IV 192 consid. 2a p. 194 s.; ATF 115 IV 244 consid. 2 et 3). c) En l'espèce, le recourant ne conteste pas qu'il a effectué au guidon de sa moto deux dépassements par la droite prohibés par l'art. 35 al. 1 LCR. Il met en cause la qualification juridique de ces faits, pour le prononcé d'une sanction administrative.</w:t>
      </w:r>
    </w:p>
    <w:p>
      <w:r>
        <w:rPr>
          <w:b/>
        </w:rPr>
        <w:t>E. 4</w:t>
      </w:r>
    </w:p>
    <w:p>
      <w:r>
        <w:t>a) 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consid. 1; 126 IV 192 consid. 3; 95 IV 84 consid. 3). Le conducteur qui, sur l'autoroute et alors que le trafic est dense, dépasse deux véhicules par la droite en déboîtant de la voie de dépassement avant de se rabattre sur ladite voie commet une infraction grave (ATF 126 IV 192; voir par exemple arrêt CR.2008.0045 du 18 septembre 2008 et réf. cit.). Dans un autre arrêt, le Tribunal fédéral a jugé qu'il ne suffit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(v. arrêt CR.2008.0045 du 18 septembre 2008 citant un ATF 6A.15/1992 du 24 mars 1992). b) Le recourant soutient qu'il a commis une infraction devant être qualifiée de moyennement grave. Il relève qu'au moment des faits les conditions météorologiques étaient bonnes, le ciel dégagé et la chaussée sèche. En outre, il n'avait gêne aucun usager lors de sa manœuvre, ce qui impliquait qu'il avait laissé un espace suffisant lorsqu'il s'était rabattu sur la voie gauche. Dans l'arrêt CR.2011.0070 du 23 avril 2012, la jurisprudence avait précisément retenu en pareilles circonstances l'existence d'une infraction moyennement grave. Le recourant reproche au SAN d'avoir omis de tenir compte de ces circonstances et de s'être limité à considérer qu'un dépassement par la droite constituait automatiquement une infraction grave. c) Il apparaît que les faits de la présente espèce diffèrent sensiblement de ceux, particuliers, à la base de l'arrêt CR.2011.0070 précité. En effet, dans cet arrêt, le conducteur se trouvait déjà sur la voie droite de l'autoroute (et non sur la voie gauche) lorsqu'il a devancé par la droite un véhicule avant de se rabattre devant lui. Le cas du recourant se distingue en outre par le fait qu'il a violé à deux reprises l'art. 35 al. 1 LCR et qu'on ne peut qu'y voir un comportement délibéré. d) Dans le cadre de l'appréciation de la gravité de la faute, il y a lieu de relever que les manœuvres successives du recourant ont été entreprises dans le but manifeste d'avancer le plus possible sur l'autoroute en utilisant les espaces encore libres. Dans de telles circonstances, la faute commise ne peut qu'être qualifiée de grave, vu la jurisprudence du Tribunal fédéral. Par son comportement, le recourant n'a certes pas concrètement mis en danger la circulation (il n'y a pas eu d'accident), ni a priori gêné les usagers. Il reste qu'il a néanmoins mis en danger le trafic et de ses usagers de manière abstraite accrue. Les conducteurs qu'il a dépassés par la droite pouvaient se rabattre à tout moment sur la voie droite sans devoir compter sur la présence d'un usager effectuant une manœuvre illicite. Le recourant, au guidon d'une moto, était un usager très vulnérable; l'observation par lui d'un " espace suffisant " lors de l'infraction ne le préservait pas d'une possible réaction inopinée et inappropriée de l'un des deux conducteurs qui aurait pu être surpris par la présence à sa hauteur d'une moto surgissant sur la chaussée droite et perdre le contrôle de sa voiture. Un brusque écart, voire une touchette avec l'une des véhicules dépassées, aurait pu aussi entraîner sa chute. Dans ces conditions, il apparaît que le risque d'accident était très élevé, avec des conséquences vraisemblablement très graves. A l'inverse, les bonnes conditions météorologiques du moment, le fait que le ciel était dégagé et la chaussée sèche ne constituaient à l'évidence pas des circonstances propres à mettre le recourant à l'abri du danger potentiel très important auquel il a exposé d'autres usagers et lui-même. Tout bien considéré, la mise en danger doit ainsi être qualifiée de grave. C'est donc à bon droit que le SAN a retenu l'existence d'une infraction grave, au sens de l'art. 16c al. 1 let. a LCR. e) Vu la qualification de l'infraction, la durée du retrait de permis s'élève à trois mois au minimum selon l'art. 16c al. 2 let. a LCR. Par conséquent, la décision attaquée ne peut qu'être confirmée (v. dans ce sens, arrêt CR.2012.0004 du 8 mars 2012).</w:t>
      </w:r>
    </w:p>
    <w:p>
      <w:r>
        <w:rPr>
          <w:b/>
        </w:rPr>
        <w:t>E. 5</w:t>
      </w:r>
    </w:p>
    <w:p>
      <w:r>
        <w:t>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