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CR.2013.0085 vom 11. Dezember 2013</w:t>
      </w:r>
    </w:p>
    <w:p>
      <w:r>
        <w:t>VD Tribunal cantonal, 2013-12-11, FR</w:t>
      </w:r>
    </w:p>
    <w:p>
      <w:r>
        <w:rPr>
          <w:b/>
        </w:rPr>
        <w:t xml:space="preserve">Quelle: </w:t>
      </w:r>
      <w:r>
        <w:t>https://mcp.opencaselaw.ch/entscheid/vd_omni_CR.2013.0085</w:t>
      </w:r>
    </w:p>
    <w:p>
      <w:r>
        <w:t>FR: VD_OMNI CR.2013.0085 du 11 décembre 2013</w:t>
      </w:r>
    </w:p>
    <w:p>
      <w:r>
        <w:t>IT: VD_OMNI CR.2013.0085 del 11 dicembre 2013</w:t>
      </w:r>
    </w:p>
    <w:p>
      <w:pPr>
        <w:pStyle w:val="Heading2"/>
      </w:pPr>
      <w:r>
        <w:t>Regeste</w:t>
      </w:r>
    </w:p>
    <w:p>
      <w:r>
        <w:t>X.________/Service des automobiles et de la navigation | Il n'est pas impossible à un observateur d'évaluer la distance entre deux véhicules en les suivant lui-même à une distance suffisante, légèrement décalé par rapport à leur axe de marche, ou en roulant sur une autre voie de circulation. Commet une faute grave l'automobiliste qui suit à une distance d'environ deux à trois mètres le véhicule qui le précède sur la voie de gauche de l'autoroute, à une vitesse de 100 km/h et sur une distance de quelque mille mètres. Retrait du permis de conduire d'une durée de trois mois (minimum légal) confirmé.</w:t>
      </w:r>
    </w:p>
    <w:p>
      <w:pPr>
        <w:pStyle w:val="Heading2"/>
      </w:pPr>
      <w:r>
        <w:t>Erwägungen</w:t>
      </w:r>
    </w:p>
    <w:p>
      <w:r>
        <w:rPr>
          <w:b/>
        </w:rPr>
        <w:t>E. 1</w:t>
      </w:r>
    </w:p>
    <w:p>
      <w:r>
        <w:t>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ATF 123 II 97 consid. 3c/aa; 121 II 214 consid. 3a). Si les faits retenus au pénal lient donc en principe l'autorité et le juge administratifs, il en va différemment des questions de droit, en particulier de l'appréciation de la faute et de la mise en danger (TF 1C_280/2012 du 28 juin 2013 consid. 2.1; 1C_353/2010 du 12 janvier 2011 consid. 2.1 et les références ).</w:t>
      </w:r>
    </w:p>
    <w:p>
      <w:r>
        <w:rPr>
          <w:b/>
        </w:rPr>
        <w:t>E. 2</w:t>
      </w:r>
    </w:p>
    <w:p>
      <w:r>
        <w:t>à 3 mètres , ceci sur une distance de quelques 1'000 mètres.</w:t>
      </w:r>
    </w:p>
    <w:p>
      <w:r>
        <w:rPr>
          <w:b/>
        </w:rPr>
        <w:t>E. 3</w:t>
      </w:r>
    </w:p>
    <w:p>
      <w:r>
        <w:t>a)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L'infraction grave au sens de l'art. 16c al. 1 let. a LCR est ainsi subordonnée à la double gravité de la faute commise et de la mise en danger objective (cf. Cédric Mizel, Les nouvelles dispositions légales sur le retrait du permis de conduire, in RDAF 2004 I 361 et ss, not. 395). Conformément à l’art. 16c al. 2 let. a LCR, le permis de conduire est retiré pour trois mois au minimum après une infraction grave. b) Le comportement d’un conducteur de véhicule automobile peut générer quatre situations : la mise en danger abstraite ou virtuelle, la mise en danger abstraite accrue, la mise en danger concrète et l’atteinte à l’intégrité physique d’autrui (Mizel, op. cit., p. 364 ss). La mise en danger abstraite accrue (qui est la condition au prononcé d’une mesure administrative) peut être particulièrement légère, légère, moyennement grave ou grave. On distingue ainsi (cf. arrêt CR.2011.0070 du 23 avril 2012 consid. 4c; CR.2011. 0062 du 9 février 2012 consid. 2b) : - La mise en danger (abstraite accrue) particulièrement légère qui équivaut à la mise en danger induite par les infractions sanctionnées par les amendes d’ordre (Mizel, op. cit., p. 365). - La mise en danger (abstraite accrue) légère qui représente une mise en danger légèrement supérieure à celle induite par les infractions sanctionnées par les amendes d’ordre (Mizel, op. cit., p. 365). - La mise en danger (abstraite accrue) moyennement grave lorsque l’on se trouve dans une situation relativement proche de l’accident (Mizel, op. cit., pp. 366-377). - La mise en danger (abstraite accrue) grave ou la mise en danger abstraite accrue selon la dénomination du Tribunal fédéral, qui a pour critères déterminants l’imminence du danger et l’intensité du risque; elle correspond à une situation dangereuse très proche de l’accident du fait du comportement d’un conducteur en raison des circonstances particulières concrètes, telles que la densité du trafic, la visibilité, les conditions atmosphériques, la configuration des lieux, etc. (Mizel, op. cit., pp. 367 ss). - La mise en danger concrète qui représente pour sa part un risque élevé de blessures pour une personne concrète. Elle consiste généralement en une collision avec un autre véhicule (Mizel, op. cit., pp. 369 et 371). Dès lors, pour qu'une infraction à la LCR soit considérée comme grave, la mise en danger doit avoir atteint le stade de "mise en danger abstraite accrue" ou de "mise en danger concrète" (Mizel, op. cit., p. 395).</w:t>
      </w:r>
    </w:p>
    <w:p>
      <w:r>
        <w:rPr>
          <w:b/>
        </w:rPr>
        <w:t>E. 4</w:t>
      </w:r>
    </w:p>
    <w:p>
      <w:r>
        <w:t>a) Aux termes de l'art. 34 al. 4 LCR, le conducteur observera une distance suffisante envers tous les usagers de la route, notamment pour croiser, dépasser et circuler de front ou lorsque des véhicules se suivent. L'art. 12 al. 1 OCR précise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des dispositions précitées; cela dépend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du " demi compteur " (correspondant à un intervalle de 1,8 seconde) sont des standards minima habituellement reconnus ( ATF 131 IV 133 consid. 3.1). Prenant en compte la pratique allemande et la doctrine, la jurisprudence du Tribunal fédéral a considéré que le cas peut être grave lorsque l'intervalle entre les véhicules est inférieur à 0,8, voire 0,6 seconde ( ATF 131 IV 133 consid. 3.2.2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ou lorsqu’il a circulé à 80 km/h sur une distance de 1'500 mètres, avec un écart de 5 mètres avec le véhicule le précédant (TF 6A.97/2006 du 23 avril 2007) ou lorsque, à une vitesse de 100 km/h, il a suivi le véhicule précédent sur 330 mètres, à une distance de 10 mètres (TF 1C_356/2009 du 12 février 2010), ou encore lorsqu'il a circulé à une vitesse de 100 km/h environ, sur 700 mètres, à une distance située entre 7 et 10 mètres du véhicule le précédant (TF 1C_7/2010 du 11 mai 2010), et aussi dans un cas dans lequel le conducteur avait suivi à une vitesse de 100 km/h environ, sur 500 mètres, le véhicule qui le précédait, à une distance située entre 5 et 10 mètres (TF 1C_274/2010 du 7 octobre 2010). En revanche, le conducteur commet en tout cas une faute moyennement grave lorsque, à une vitesse de 85 km/h, il suit un autre usager à une distance de 8 mètres ( ATF 126 II 358 ), ou lorsqu'à une vitesse de 87 km/h, il suit un véhicule à une distance de 5 à 10 mètres (TF 6A.54/2004 du 3 février 2005). La Cour de droit administratif et public a jugé pour sa part qu'avait commis une faute grave le conducteur qui avait suivi le véhicule qui le précédait à une vitesse de 120 km/h environ et une distance d'une dizaine de mètres (CR.2011.0038 du 24 août 2011 consid. 2b; CR.2012.0019 du 10 juillet 2012 consid. 3), de même que celui ne laissant qu'un intervalle de 0.35 seconde à une vitesse de 100 km/h (correspondant à une distance d'environ 9,7 m) et cela sur 527 m (CR.2011.0036 du 12 décembre 2011 consid. 3c). b) La vitesse de 100 km/h équivaut à 27,77 m/s. Le rapport de police retient que le recourant a suivi le véhicule qui le précédait à une distance de 2 à 3 mètres. C'est cette dernière valeur, plus favorable au recourant, qui doit être retenue. A 100 km/h (ou 27,77 m/s), 3 mètres sont parcourus en 0,108 seconde. La distance entre le recourant et le véhicule qui le précédait était donc nettement insuffisante au regard de l'art. 12 al. 1 OCR et de la jurisprudence y relative, qui fixe un seuil minimal de 0,8 voire 0,6 seconde. Laisser une distance aussi faible à 100 km/h, même sur la voie de droite d'une autoroute, sur une distance d’environ 1'000 mètres, crée un danger abstrait accru et constitue, objectivement, une violation grave des règles de la circulation.</w:t>
      </w:r>
    </w:p>
    <w:p>
      <w:r>
        <w:rPr>
          <w:b/>
        </w:rPr>
        <w:t>E. 5</w:t>
      </w:r>
    </w:p>
    <w:p>
      <w:r>
        <w:t>a) Selon l'art. 16c al. 2 LCR, après une infraction grave, le permis de conduire est retiré pour trois mois au minimum. Dans les cas d'application de l'art. 16c LCR, il n'est pas possible, même dans des circonstances particulières, de retirer le permis de conduire pour une durée inférieure aux durées minimales prévues par cette disposition (TF 6A.100/2006 du 28 mars 2007 consid. 4 et ATF 132 II 234 consid. 2 cité dans CR.2008.0197 du 17 mars 2009 consid. 4e; CR.2009.0025 du 6 janvier 2010 consid. 2).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pas de prononcer une sanction inférieure au minimum prévu par l'art. 16c LCR (CR.2009.0022 du 27 novembre 2009 consid. 2b; CR.2009.0025 du 6 janvier 2010 consid. 2). b) En l’occurrence, l'autorité intimée a prononcé à l’encontre du recourant un retrait de permis de conduire d'une durée correspondant au minimum légal prévu par le législateur, soit trois mois. L’utilité professionnelle invoquée par le recourant n’a dès lors pas à être examinée, puisqu'il n'est de toute façon pas possible de réduire la durée de la mesure prononcée à son encontre.</w:t>
      </w:r>
    </w:p>
    <w:p>
      <w:r>
        <w:rPr>
          <w:b/>
        </w:rPr>
        <w:t>E. 6</w:t>
      </w:r>
    </w:p>
    <w:p>
      <w:r>
        <w:t>Il résulte des considérants qui précèdent que le recours doit être rejeté et la décision attaquée confirmée. Le SAN fixera un nouveau délai au recourant pour le dépôt de son permis de conduire. Le recourant, qui succombe, supportera les frais de justice (art. 49 al. 1 et 91 de la loi du 28 octobre 2008 sur la procédure administrative [LPA-VD; RSV 173.36]) et il ne sera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